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Cs/>
          <w:sz w:val="32"/>
          <w:szCs w:val="32"/>
          <w:u w:val="single"/>
        </w:rPr>
      </w:pPr>
    </w:p>
    <w:p>
      <w:pPr>
        <w:spacing w:line="560" w:lineRule="exact"/>
        <w:jc w:val="center"/>
        <w:rPr>
          <w:b/>
          <w:sz w:val="44"/>
          <w:szCs w:val="44"/>
          <w:u w:val="single"/>
        </w:rPr>
      </w:pPr>
    </w:p>
    <w:p/>
    <w:p>
      <w:pPr>
        <w:pStyle w:val="2"/>
      </w:pPr>
    </w:p>
    <w:p>
      <w:pPr>
        <w:spacing w:line="560" w:lineRule="exact"/>
        <w:jc w:val="center"/>
        <w:rPr>
          <w:b/>
          <w:sz w:val="44"/>
          <w:szCs w:val="44"/>
          <w:u w:val="single"/>
        </w:rPr>
      </w:pPr>
    </w:p>
    <w:p>
      <w:pPr>
        <w:spacing w:line="560" w:lineRule="exact"/>
        <w:jc w:val="both"/>
        <w:rPr>
          <w:rFonts w:hint="eastAsia"/>
          <w:b/>
          <w:sz w:val="44"/>
          <w:szCs w:val="44"/>
        </w:rPr>
      </w:pPr>
    </w:p>
    <w:p>
      <w:pPr>
        <w:spacing w:line="560" w:lineRule="exact"/>
        <w:jc w:val="center"/>
        <w:rPr>
          <w:rFonts w:hint="default" w:eastAsia="宋体"/>
          <w:b/>
          <w:sz w:val="44"/>
          <w:szCs w:val="44"/>
          <w:lang w:val="en-US" w:eastAsia="zh-CN"/>
        </w:rPr>
      </w:pPr>
      <w:r>
        <w:rPr>
          <w:rFonts w:hint="eastAsia"/>
          <w:b/>
          <w:sz w:val="44"/>
          <w:szCs w:val="44"/>
          <w:lang w:val="en-US" w:eastAsia="zh-CN"/>
        </w:rPr>
        <w:t>营口市科学技术协会2026年度部门预算</w:t>
      </w: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rPr>
          <w:rFonts w:hint="eastAsia"/>
          <w:b/>
          <w:sz w:val="44"/>
          <w:szCs w:val="44"/>
        </w:rPr>
      </w:pPr>
    </w:p>
    <w:p>
      <w:pPr>
        <w:pStyle w:val="2"/>
        <w:rPr>
          <w:rFonts w:hint="eastAsia"/>
        </w:rPr>
      </w:pPr>
    </w:p>
    <w:p>
      <w:pPr>
        <w:rPr>
          <w:rFonts w:hint="eastAsia"/>
        </w:rPr>
      </w:pPr>
    </w:p>
    <w:p>
      <w:pPr>
        <w:spacing w:line="560" w:lineRule="exact"/>
        <w:jc w:val="center"/>
        <w:rPr>
          <w:b/>
          <w:sz w:val="44"/>
          <w:szCs w:val="44"/>
        </w:rPr>
      </w:pPr>
      <w:r>
        <w:rPr>
          <w:rFonts w:hint="eastAsia"/>
          <w:b/>
          <w:sz w:val="44"/>
          <w:szCs w:val="44"/>
        </w:rPr>
        <w:t>目    录</w:t>
      </w:r>
    </w:p>
    <w:p>
      <w:pPr>
        <w:spacing w:line="560" w:lineRule="exact"/>
        <w:rPr>
          <w:b/>
          <w:sz w:val="44"/>
          <w:szCs w:val="44"/>
          <w:u w:val="single"/>
        </w:rPr>
      </w:pPr>
    </w:p>
    <w:p>
      <w:pPr>
        <w:spacing w:line="560" w:lineRule="exact"/>
        <w:rPr>
          <w:b/>
          <w:sz w:val="44"/>
          <w:szCs w:val="44"/>
          <w:u w:val="single"/>
        </w:rPr>
      </w:pPr>
    </w:p>
    <w:p>
      <w:pPr>
        <w:spacing w:line="560" w:lineRule="exact"/>
        <w:rPr>
          <w:rFonts w:ascii="黑体" w:hAnsi="黑体" w:eastAsia="黑体"/>
          <w:sz w:val="32"/>
          <w:szCs w:val="32"/>
        </w:rPr>
      </w:pPr>
      <w:r>
        <w:rPr>
          <w:rFonts w:hint="eastAsia" w:ascii="黑体" w:hAnsi="黑体" w:eastAsia="黑体"/>
          <w:sz w:val="32"/>
          <w:szCs w:val="32"/>
        </w:rPr>
        <w:t>第一部分　　部门预算公开管理文件</w:t>
      </w:r>
    </w:p>
    <w:p>
      <w:pPr>
        <w:spacing w:line="560" w:lineRule="exact"/>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营口市科学技术协会</w:t>
      </w:r>
      <w:r>
        <w:rPr>
          <w:rFonts w:hint="eastAsia" w:ascii="黑体" w:hAnsi="黑体" w:eastAsia="黑体"/>
          <w:sz w:val="32"/>
          <w:szCs w:val="32"/>
        </w:rPr>
        <w:t>概况</w:t>
      </w:r>
    </w:p>
    <w:p>
      <w:pPr>
        <w:spacing w:line="560" w:lineRule="exact"/>
        <w:ind w:firstLine="646" w:firstLineChars="2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部门</w:t>
      </w:r>
      <w:r>
        <w:rPr>
          <w:rFonts w:hint="eastAsia" w:ascii="仿宋_GB2312" w:hAnsi="黑体" w:eastAsia="仿宋_GB2312"/>
          <w:sz w:val="32"/>
          <w:szCs w:val="32"/>
        </w:rPr>
        <w:t>职责</w:t>
      </w:r>
    </w:p>
    <w:p>
      <w:pPr>
        <w:spacing w:line="560" w:lineRule="exact"/>
        <w:ind w:firstLine="646" w:firstLineChars="200"/>
        <w:rPr>
          <w:rFonts w:ascii="仿宋_GB2312" w:hAnsi="黑体" w:eastAsia="仿宋_GB2312"/>
          <w:sz w:val="32"/>
          <w:szCs w:val="32"/>
        </w:rPr>
      </w:pPr>
      <w:r>
        <w:rPr>
          <w:rFonts w:hint="eastAsia" w:ascii="仿宋_GB2312" w:hAnsi="黑体" w:eastAsia="仿宋_GB2312"/>
          <w:sz w:val="32"/>
          <w:szCs w:val="32"/>
        </w:rPr>
        <w:t>二、机构设置</w:t>
      </w:r>
    </w:p>
    <w:p>
      <w:pPr>
        <w:spacing w:line="560" w:lineRule="exact"/>
        <w:ind w:left="1938" w:hanging="1938" w:hangingChars="60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营口市科学技术协会</w:t>
      </w:r>
      <w:r>
        <w:rPr>
          <w:rFonts w:hint="eastAsia" w:ascii="黑体" w:hAnsi="黑体" w:eastAsia="黑体"/>
          <w:sz w:val="32"/>
          <w:szCs w:val="32"/>
          <w:lang w:val="en-US" w:eastAsia="zh-CN"/>
        </w:rPr>
        <w:t>2026</w:t>
      </w:r>
      <w:r>
        <w:rPr>
          <w:rFonts w:hint="eastAsia" w:ascii="黑体" w:hAnsi="黑体" w:eastAsia="黑体"/>
          <w:sz w:val="32"/>
          <w:szCs w:val="32"/>
        </w:rPr>
        <w:t>年部门预算情况说明</w:t>
      </w:r>
    </w:p>
    <w:p>
      <w:pPr>
        <w:spacing w:line="560" w:lineRule="exact"/>
        <w:rPr>
          <w:rFonts w:ascii="黑体" w:hAnsi="黑体" w:eastAsia="黑体"/>
          <w:sz w:val="32"/>
          <w:szCs w:val="32"/>
        </w:rPr>
      </w:pPr>
      <w:r>
        <w:rPr>
          <w:rFonts w:hint="eastAsia" w:ascii="黑体" w:hAnsi="黑体" w:eastAsia="黑体"/>
          <w:sz w:val="32"/>
          <w:szCs w:val="32"/>
        </w:rPr>
        <w:t>第四部分    名词解释</w:t>
      </w:r>
    </w:p>
    <w:p>
      <w:pPr>
        <w:spacing w:line="560" w:lineRule="exact"/>
        <w:ind w:left="1938" w:hanging="1938" w:hangingChars="600"/>
        <w:rPr>
          <w:rFonts w:ascii="黑体" w:hAnsi="黑体" w:eastAsia="黑体"/>
          <w:sz w:val="32"/>
          <w:szCs w:val="32"/>
        </w:rPr>
      </w:pPr>
      <w:r>
        <w:rPr>
          <w:rFonts w:hint="eastAsia" w:ascii="黑体" w:hAnsi="黑体" w:eastAsia="黑体"/>
          <w:sz w:val="32"/>
          <w:szCs w:val="32"/>
        </w:rPr>
        <w:t xml:space="preserve">第五部分    </w:t>
      </w:r>
      <w:r>
        <w:rPr>
          <w:rFonts w:hint="eastAsia" w:ascii="黑体" w:hAnsi="黑体" w:eastAsia="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eastAsia="zh-CN"/>
        </w:rPr>
        <w:t>营口市科学技术协会</w:t>
      </w:r>
      <w:r>
        <w:rPr>
          <w:rFonts w:hint="eastAsia" w:ascii="黑体" w:hAnsi="黑体" w:eastAsia="黑体"/>
          <w:sz w:val="32"/>
          <w:szCs w:val="32"/>
        </w:rPr>
        <w:t>部门预算批复表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一、</w:t>
      </w:r>
      <w:r>
        <w:rPr>
          <w:rFonts w:hint="eastAsia" w:ascii="仿宋_GB2312" w:hAnsi="黑体" w:eastAsia="仿宋_GB2312"/>
          <w:sz w:val="32"/>
          <w:szCs w:val="32"/>
        </w:rPr>
        <w:t>收支预算总表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二、</w:t>
      </w:r>
      <w:r>
        <w:rPr>
          <w:rFonts w:hint="eastAsia" w:ascii="仿宋_GB2312" w:hAnsi="黑体" w:eastAsia="仿宋_GB2312"/>
          <w:sz w:val="32"/>
          <w:szCs w:val="32"/>
        </w:rPr>
        <w:t>收入预算总表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三、</w:t>
      </w:r>
      <w:r>
        <w:rPr>
          <w:rFonts w:hint="eastAsia" w:ascii="仿宋_GB2312" w:hAnsi="黑体" w:eastAsia="仿宋_GB2312"/>
          <w:sz w:val="32"/>
          <w:szCs w:val="32"/>
        </w:rPr>
        <w:t>支出预算总表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四、</w:t>
      </w:r>
      <w:r>
        <w:rPr>
          <w:rFonts w:hint="eastAsia" w:ascii="仿宋_GB2312" w:hAnsi="黑体" w:eastAsia="仿宋_GB2312"/>
          <w:sz w:val="32"/>
          <w:szCs w:val="32"/>
        </w:rPr>
        <w:t>财政拨款收支预算总表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五、</w:t>
      </w:r>
      <w:r>
        <w:rPr>
          <w:rFonts w:hint="eastAsia" w:ascii="仿宋_GB2312" w:hAnsi="黑体" w:eastAsia="仿宋_GB2312"/>
          <w:sz w:val="32"/>
          <w:szCs w:val="32"/>
        </w:rPr>
        <w:t>一般公共预算支出表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六、</w:t>
      </w:r>
      <w:r>
        <w:rPr>
          <w:rFonts w:hint="eastAsia" w:ascii="仿宋_GB2312" w:hAnsi="黑体" w:eastAsia="仿宋_GB2312"/>
          <w:sz w:val="32"/>
          <w:szCs w:val="32"/>
        </w:rPr>
        <w:t>一般公共预算基本支出表</w:t>
      </w:r>
    </w:p>
    <w:p>
      <w:pPr>
        <w:numPr>
          <w:ilvl w:val="0"/>
          <w:numId w:val="0"/>
        </w:numPr>
        <w:spacing w:line="560" w:lineRule="exact"/>
        <w:ind w:left="540" w:leftChars="0"/>
        <w:rPr>
          <w:rFonts w:ascii="仿宋_GB2312" w:hAnsi="黑体" w:eastAsia="仿宋_GB2312"/>
          <w:sz w:val="32"/>
          <w:szCs w:val="32"/>
        </w:rPr>
      </w:pPr>
      <w:r>
        <w:rPr>
          <w:rFonts w:hint="eastAsia" w:ascii="仿宋_GB2312" w:hAnsi="黑体" w:eastAsia="仿宋_GB2312"/>
          <w:sz w:val="32"/>
          <w:szCs w:val="32"/>
          <w:lang w:eastAsia="zh-CN"/>
        </w:rPr>
        <w:t>七、财政拨款</w:t>
      </w:r>
      <w:r>
        <w:rPr>
          <w:rFonts w:hint="eastAsia" w:ascii="仿宋_GB2312" w:hAnsi="黑体" w:eastAsia="仿宋_GB2312"/>
          <w:sz w:val="32"/>
          <w:szCs w:val="32"/>
        </w:rPr>
        <w:t>预算“三公”经费支出表</w:t>
      </w:r>
    </w:p>
    <w:p>
      <w:pPr>
        <w:numPr>
          <w:ilvl w:val="0"/>
          <w:numId w:val="1"/>
        </w:numPr>
        <w:tabs>
          <w:tab w:val="left" w:pos="1260"/>
        </w:tabs>
        <w:spacing w:line="560" w:lineRule="exact"/>
        <w:ind w:left="540"/>
        <w:rPr>
          <w:rFonts w:ascii="仿宋_GB2312" w:hAnsi="宋体" w:eastAsia="仿宋_GB2312" w:cs="宋体"/>
          <w:sz w:val="32"/>
          <w:szCs w:val="32"/>
        </w:rPr>
      </w:pPr>
      <w:r>
        <w:rPr>
          <w:rFonts w:hint="eastAsia" w:ascii="仿宋_GB2312" w:hAnsi="宋体" w:eastAsia="仿宋_GB2312" w:cs="宋体"/>
          <w:sz w:val="32"/>
          <w:szCs w:val="32"/>
        </w:rPr>
        <w:t>政府性基金预算支出表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项目支出预算表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支出功能分类预算表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支出经济分类预算表（政府预算）</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支出经济分类预算表（部门预算）</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债务支出预算表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政府采购支出预算表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政府购买服务支出预算表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部门（单位）整体绩效目标表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部门预算项目（政策）绩效目标表</w:t>
      </w:r>
    </w:p>
    <w:p>
      <w:pPr>
        <w:numPr>
          <w:ilvl w:val="0"/>
          <w:numId w:val="1"/>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部门管理专项资金预算表</w:t>
      </w:r>
    </w:p>
    <w:p>
      <w:pPr>
        <w:spacing w:line="560" w:lineRule="exact"/>
        <w:rPr>
          <w:rFonts w:ascii="黑体" w:hAnsi="黑体" w:eastAsia="黑体"/>
          <w:sz w:val="32"/>
          <w:szCs w:val="32"/>
        </w:rPr>
      </w:pPr>
      <w:r>
        <w:rPr>
          <w:rFonts w:hint="eastAsia" w:ascii="黑体" w:hAnsi="黑体" w:eastAsia="黑体"/>
          <w:sz w:val="32"/>
          <w:szCs w:val="32"/>
        </w:rPr>
        <w:t>　</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pStyle w:val="2"/>
      </w:pPr>
    </w:p>
    <w:p>
      <w:pPr>
        <w:spacing w:line="560" w:lineRule="exact"/>
        <w:jc w:val="center"/>
        <w:rPr>
          <w:rFonts w:ascii="宋体" w:hAnsi="宋体"/>
          <w:b/>
          <w:sz w:val="36"/>
          <w:szCs w:val="36"/>
        </w:rPr>
      </w:pPr>
      <w:r>
        <w:rPr>
          <w:rFonts w:hint="eastAsia" w:ascii="宋体" w:hAnsi="宋体"/>
          <w:b/>
          <w:sz w:val="36"/>
          <w:szCs w:val="36"/>
        </w:rPr>
        <w:t>第一部分　　部门预算公开管理文件</w:t>
      </w:r>
    </w:p>
    <w:p>
      <w:pPr>
        <w:spacing w:line="560" w:lineRule="exact"/>
        <w:jc w:val="center"/>
        <w:rPr>
          <w:rFonts w:ascii="宋体" w:hAnsi="宋体"/>
          <w:b/>
          <w:sz w:val="36"/>
          <w:szCs w:val="36"/>
        </w:rPr>
      </w:pPr>
    </w:p>
    <w:p>
      <w:pPr>
        <w:widowControl/>
        <w:spacing w:line="390" w:lineRule="atLeast"/>
        <w:jc w:val="center"/>
        <w:rPr>
          <w:rFonts w:hint="eastAsia" w:ascii="宋体" w:hAnsi="宋体" w:cs="宋体"/>
          <w:b w:val="0"/>
          <w:bCs w:val="0"/>
          <w:color w:val="3D3D3D"/>
          <w:kern w:val="0"/>
          <w:sz w:val="36"/>
          <w:szCs w:val="36"/>
        </w:rPr>
      </w:pPr>
      <w:r>
        <w:rPr>
          <w:rFonts w:hint="eastAsia" w:ascii="宋体" w:hAnsi="宋体" w:eastAsia="宋体" w:cs="宋体"/>
          <w:b w:val="0"/>
          <w:bCs w:val="0"/>
          <w:color w:val="3D3D3D"/>
          <w:kern w:val="0"/>
          <w:sz w:val="36"/>
          <w:szCs w:val="36"/>
        </w:rPr>
        <w:t>关于印发《营口市</w:t>
      </w:r>
      <w:r>
        <w:rPr>
          <w:rFonts w:hint="eastAsia" w:ascii="宋体" w:hAnsi="宋体" w:eastAsia="宋体" w:cs="宋体"/>
          <w:b w:val="0"/>
          <w:bCs w:val="0"/>
          <w:color w:val="3D3D3D"/>
          <w:kern w:val="0"/>
          <w:sz w:val="36"/>
          <w:szCs w:val="36"/>
          <w:lang w:eastAsia="zh-CN"/>
        </w:rPr>
        <w:t>科学技术协会</w:t>
      </w:r>
      <w:r>
        <w:rPr>
          <w:rFonts w:hint="eastAsia" w:ascii="宋体" w:hAnsi="宋体" w:eastAsia="宋体" w:cs="宋体"/>
          <w:b w:val="0"/>
          <w:bCs w:val="0"/>
          <w:color w:val="3D3D3D"/>
          <w:kern w:val="0"/>
          <w:sz w:val="36"/>
          <w:szCs w:val="36"/>
        </w:rPr>
        <w:t>预决算信息公开管理办法(试行)》的通知</w:t>
      </w:r>
    </w:p>
    <w:p>
      <w:pPr>
        <w:widowControl/>
        <w:spacing w:line="390" w:lineRule="atLeast"/>
        <w:jc w:val="left"/>
        <w:rPr>
          <w:rFonts w:hint="eastAsia" w:ascii="仿宋" w:hAnsi="仿宋" w:eastAsia="仿宋" w:cs="宋体"/>
          <w:b w:val="0"/>
          <w:bCs w:val="0"/>
          <w:color w:val="333333"/>
          <w:kern w:val="0"/>
          <w:sz w:val="32"/>
          <w:szCs w:val="32"/>
        </w:rPr>
      </w:pPr>
    </w:p>
    <w:p>
      <w:pPr>
        <w:widowControl/>
        <w:spacing w:line="390" w:lineRule="atLeast"/>
        <w:jc w:val="left"/>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市</w:t>
      </w:r>
      <w:r>
        <w:rPr>
          <w:rFonts w:hint="eastAsia" w:ascii="仿宋" w:hAnsi="仿宋" w:eastAsia="仿宋" w:cs="宋体"/>
          <w:b w:val="0"/>
          <w:bCs w:val="0"/>
          <w:color w:val="333333"/>
          <w:kern w:val="0"/>
          <w:sz w:val="28"/>
          <w:szCs w:val="28"/>
          <w:lang w:eastAsia="zh-CN"/>
        </w:rPr>
        <w:t>科技馆</w:t>
      </w:r>
      <w:r>
        <w:rPr>
          <w:rFonts w:hint="eastAsia" w:ascii="仿宋" w:hAnsi="仿宋" w:eastAsia="仿宋" w:cs="宋体"/>
          <w:b w:val="0"/>
          <w:bCs w:val="0"/>
          <w:color w:val="333333"/>
          <w:kern w:val="0"/>
          <w:sz w:val="28"/>
          <w:szCs w:val="28"/>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566" w:firstLineChars="200"/>
        <w:jc w:val="both"/>
        <w:textAlignment w:val="baseline"/>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为了推进和规范预决算信息公开工作，提高预决算的公开性和透明度，强化社会监督，促进依法理财，我们制定了《营口市</w:t>
      </w:r>
      <w:r>
        <w:rPr>
          <w:rFonts w:hint="eastAsia" w:ascii="仿宋" w:hAnsi="仿宋" w:eastAsia="仿宋" w:cs="宋体"/>
          <w:b w:val="0"/>
          <w:bCs w:val="0"/>
          <w:color w:val="333333"/>
          <w:kern w:val="0"/>
          <w:sz w:val="28"/>
          <w:szCs w:val="28"/>
          <w:lang w:eastAsia="zh-CN"/>
        </w:rPr>
        <w:t>科学技术协会</w:t>
      </w:r>
      <w:r>
        <w:rPr>
          <w:rFonts w:hint="eastAsia" w:ascii="仿宋" w:hAnsi="仿宋" w:eastAsia="仿宋" w:cs="宋体"/>
          <w:b w:val="0"/>
          <w:bCs w:val="0"/>
          <w:color w:val="333333"/>
          <w:kern w:val="0"/>
          <w:sz w:val="28"/>
          <w:szCs w:val="28"/>
        </w:rPr>
        <w:t>预决算信息公开管理办法(试行)》,现印发给你们，请遵照执行。</w:t>
      </w:r>
    </w:p>
    <w:p>
      <w:pPr>
        <w:spacing w:line="560" w:lineRule="exact"/>
        <w:rPr>
          <w:rFonts w:hint="eastAsia" w:ascii="仿宋" w:hAnsi="仿宋" w:eastAsia="仿宋" w:cs="宋体"/>
          <w:b w:val="0"/>
          <w:bCs w:val="0"/>
          <w:color w:val="333333"/>
          <w:kern w:val="0"/>
          <w:sz w:val="28"/>
          <w:szCs w:val="28"/>
        </w:rPr>
      </w:pPr>
      <w:r>
        <w:rPr>
          <w:rFonts w:hint="eastAsia" w:ascii="仿宋" w:hAnsi="仿宋" w:eastAsia="仿宋" w:cs="宋体"/>
          <w:b w:val="0"/>
          <w:bCs w:val="0"/>
          <w:color w:val="333333"/>
          <w:kern w:val="0"/>
          <w:sz w:val="28"/>
          <w:szCs w:val="28"/>
        </w:rPr>
        <w:t>附件：营口市</w:t>
      </w:r>
      <w:r>
        <w:rPr>
          <w:rFonts w:hint="eastAsia" w:ascii="仿宋" w:hAnsi="仿宋" w:eastAsia="仿宋" w:cs="宋体"/>
          <w:b w:val="0"/>
          <w:bCs w:val="0"/>
          <w:color w:val="333333"/>
          <w:kern w:val="0"/>
          <w:sz w:val="28"/>
          <w:szCs w:val="28"/>
          <w:lang w:eastAsia="zh-CN"/>
        </w:rPr>
        <w:t>科学技术协会</w:t>
      </w:r>
      <w:r>
        <w:rPr>
          <w:rFonts w:hint="eastAsia" w:ascii="仿宋" w:hAnsi="仿宋" w:eastAsia="仿宋" w:cs="宋体"/>
          <w:b w:val="0"/>
          <w:bCs w:val="0"/>
          <w:color w:val="333333"/>
          <w:kern w:val="0"/>
          <w:sz w:val="28"/>
          <w:szCs w:val="28"/>
        </w:rPr>
        <w:t>预决算信息公开管理办法(试行)</w:t>
      </w:r>
    </w:p>
    <w:p>
      <w:pPr>
        <w:rPr>
          <w:rFonts w:hint="eastAsia" w:ascii="仿宋" w:hAnsi="仿宋" w:eastAsia="仿宋" w:cs="宋体"/>
          <w:b w:val="0"/>
          <w:bCs w:val="0"/>
          <w:color w:val="333333"/>
          <w:kern w:val="0"/>
          <w:sz w:val="32"/>
          <w:szCs w:val="32"/>
        </w:rPr>
      </w:pPr>
    </w:p>
    <w:p>
      <w:pPr>
        <w:jc w:val="center"/>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lang w:eastAsia="zh-CN"/>
        </w:rPr>
        <w:t>营口市科学技术协会预决算信息公开管理办法(试行)</w:t>
      </w:r>
    </w:p>
    <w:p>
      <w:pPr>
        <w:jc w:val="center"/>
        <w:rPr>
          <w:rFonts w:hint="eastAsia" w:ascii="仿宋_GB2312" w:hAnsi="仿宋_GB2312" w:eastAsia="仿宋_GB2312" w:cs="仿宋_GB2312"/>
          <w:b w:val="0"/>
          <w:bCs w:val="0"/>
          <w:sz w:val="44"/>
          <w:szCs w:val="44"/>
        </w:rPr>
      </w:pPr>
    </w:p>
    <w:p>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第一章 总则</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第一条 为规范营口市科学技术协会（以下简称“市科协”）预决算信息公开工作，提高预决算透明度，保障公民、法人和其他组织的知情权和监督权，根据《中华人民共和国预算法》、《中华人民共和国政府信息公开条例》等法律法规，结合市科协实际，制定本办法。</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第二条 本办法所称预决算信息，是指市科协依法经批复的部门预算、决算及报表，以及相关说明等。</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第三条 预决算信息公开遵循依法依规、真实准确、及时完整、便于监督的原则。</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第四条 市科协办公室负责预决算信息公开的组织实施工作，财务部门负责提供预决算信息，并对其真实性、准确性、完整性负责。</w:t>
      </w:r>
    </w:p>
    <w:p>
      <w:pPr>
        <w:spacing w:line="360" w:lineRule="auto"/>
        <w:jc w:val="center"/>
        <w:rPr>
          <w:rFonts w:hint="eastAsia" w:ascii="仿宋_GB2312" w:hAnsi="仿宋_GB2312" w:eastAsia="仿宋_GB2312" w:cs="仿宋_GB2312"/>
          <w:b w:val="0"/>
          <w:bCs w:val="0"/>
          <w:sz w:val="28"/>
          <w:szCs w:val="28"/>
        </w:rPr>
      </w:pPr>
    </w:p>
    <w:p>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第二章 公开内容</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第五条 市科协预决算信息公开内容包括：</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（一）部门概况：包括部门职责、机构设置、人员编制等；</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（二）部门预决算表：包括部门收支总体情况表、财政拨款收支情况表、一般公共预算支出情况表、政府性基金预算支出情况表、国有资本经营预算支出情况表等；</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（三）部门预决算情况说明：包括预决算收支增减变化情况说明、“三公”经费预决算情况说明、机关运行经费安排情况说明、政府采购情况说明、国有资产占用情况说明、预算绩效情况说明等；</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（四）其他需要公开的预决算信息。</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第六条 市科协应当逐步公开部门项目支出、绩效目标、绩效评价结果等信息。</w:t>
      </w:r>
    </w:p>
    <w:p>
      <w:pPr>
        <w:spacing w:line="360" w:lineRule="auto"/>
        <w:jc w:val="both"/>
        <w:rPr>
          <w:rFonts w:hint="eastAsia" w:ascii="仿宋_GB2312" w:hAnsi="仿宋_GB2312" w:eastAsia="仿宋_GB2312" w:cs="仿宋_GB2312"/>
          <w:b w:val="0"/>
          <w:bCs w:val="0"/>
          <w:sz w:val="28"/>
          <w:szCs w:val="28"/>
        </w:rPr>
      </w:pPr>
    </w:p>
    <w:p>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第三章 公开方式和时间</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第七条 市科协预决算信息通过市科协门户网站向社会公开，并保持长期公开状态。</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第八条 市科协应当在市财政局批复部门预决算后20日内，公开部门预决算信息。</w:t>
      </w:r>
    </w:p>
    <w:p>
      <w:pPr>
        <w:spacing w:line="360" w:lineRule="auto"/>
        <w:jc w:val="center"/>
        <w:rPr>
          <w:rFonts w:hint="eastAsia" w:ascii="仿宋_GB2312" w:hAnsi="仿宋_GB2312" w:eastAsia="仿宋_GB2312" w:cs="仿宋_GB2312"/>
          <w:b w:val="0"/>
          <w:bCs w:val="0"/>
          <w:sz w:val="28"/>
          <w:szCs w:val="28"/>
        </w:rPr>
      </w:pPr>
    </w:p>
    <w:p>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第四章 监督和保障</w:t>
      </w:r>
    </w:p>
    <w:p>
      <w:pPr>
        <w:spacing w:line="360" w:lineRule="auto"/>
        <w:ind w:left="0" w:leftChars="0"/>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第九条 市科协应当建立健全预决算信息公开工作考核机制，将预决算信息公开工作纳入年度工作目标考核范围。</w:t>
      </w:r>
    </w:p>
    <w:p>
      <w:pPr>
        <w:spacing w:line="360" w:lineRule="auto"/>
        <w:ind w:left="0" w:leftChars="0"/>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第十条 市科协应当加强对预决算信息公开工作的监督检查，对发现的问题及时进行整改。</w:t>
      </w:r>
    </w:p>
    <w:p>
      <w:pPr>
        <w:numPr>
          <w:ilvl w:val="0"/>
          <w:numId w:val="0"/>
        </w:num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w:t>
      </w:r>
      <w:r>
        <w:rPr>
          <w:rFonts w:hint="eastAsia" w:ascii="仿宋_GB2312" w:hAnsi="仿宋_GB2312" w:eastAsia="仿宋_GB2312" w:cs="仿宋_GB2312"/>
          <w:b w:val="0"/>
          <w:bCs w:val="0"/>
          <w:sz w:val="28"/>
          <w:szCs w:val="28"/>
          <w:lang w:eastAsia="zh-CN"/>
        </w:rPr>
        <w:t>一</w:t>
      </w:r>
      <w:r>
        <w:rPr>
          <w:rFonts w:hint="eastAsia" w:ascii="仿宋_GB2312" w:hAnsi="仿宋_GB2312" w:eastAsia="仿宋_GB2312" w:cs="仿宋_GB2312"/>
          <w:b w:val="0"/>
          <w:bCs w:val="0"/>
          <w:sz w:val="28"/>
          <w:szCs w:val="28"/>
        </w:rPr>
        <w:t>条</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公民、法人和其他组织认为市科协未依法履行预决算信息公开义务的，可以向市科协办公室投诉举报。</w:t>
      </w:r>
    </w:p>
    <w:p>
      <w:pPr>
        <w:numPr>
          <w:ilvl w:val="0"/>
          <w:numId w:val="0"/>
        </w:numPr>
        <w:spacing w:line="360" w:lineRule="auto"/>
        <w:jc w:val="both"/>
        <w:rPr>
          <w:rFonts w:hint="eastAsia" w:ascii="仿宋_GB2312" w:hAnsi="仿宋_GB2312" w:eastAsia="仿宋_GB2312" w:cs="仿宋_GB2312"/>
          <w:b w:val="0"/>
          <w:bCs w:val="0"/>
          <w:sz w:val="28"/>
          <w:szCs w:val="28"/>
        </w:rPr>
      </w:pPr>
    </w:p>
    <w:p>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第五章 附则</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第十二条 本办法由市科协办公室负责解释。</w:t>
      </w:r>
    </w:p>
    <w:p>
      <w:pPr>
        <w:spacing w:line="360" w:lineRule="auto"/>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第十三条 本办法自发布之日起施行。</w:t>
      </w:r>
    </w:p>
    <w:p>
      <w:pPr>
        <w:spacing w:line="360" w:lineRule="auto"/>
        <w:jc w:val="both"/>
        <w:rPr>
          <w:rFonts w:hint="eastAsia" w:ascii="仿宋_GB2312" w:hAnsi="仿宋_GB2312" w:eastAsia="仿宋_GB2312" w:cs="仿宋_GB2312"/>
          <w:b w:val="0"/>
          <w:bCs w:val="0"/>
          <w:sz w:val="28"/>
          <w:szCs w:val="28"/>
          <w:lang w:val="en-US" w:eastAsia="zh-CN"/>
        </w:rPr>
      </w:pPr>
    </w:p>
    <w:p>
      <w:pPr>
        <w:spacing w:line="360" w:lineRule="auto"/>
        <w:jc w:val="both"/>
        <w:rPr>
          <w:rFonts w:hint="eastAsia" w:ascii="仿宋_GB2312" w:hAnsi="仿宋_GB2312" w:eastAsia="仿宋_GB2312" w:cs="仿宋_GB2312"/>
          <w:b w:val="0"/>
          <w:bCs w:val="0"/>
          <w:sz w:val="28"/>
          <w:szCs w:val="28"/>
          <w:lang w:val="en-US" w:eastAsia="zh-CN"/>
        </w:rPr>
      </w:pPr>
    </w:p>
    <w:p>
      <w:pPr>
        <w:spacing w:line="360" w:lineRule="auto"/>
        <w:jc w:val="righ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营口市科学技术协会</w:t>
      </w:r>
    </w:p>
    <w:p>
      <w:pPr>
        <w:pStyle w:val="2"/>
        <w:ind w:firstLine="5943" w:firstLineChars="2100"/>
        <w:rPr>
          <w:rFonts w:hint="eastAsia" w:ascii="仿宋_GB2312" w:hAnsi="仿宋_GB2312" w:eastAsia="仿宋_GB2312" w:cs="仿宋_GB2312"/>
          <w:b w:val="0"/>
          <w:bCs w:val="0"/>
        </w:rPr>
      </w:pPr>
      <w:r>
        <w:rPr>
          <w:rFonts w:hint="eastAsia" w:ascii="仿宋_GB2312" w:hAnsi="仿宋_GB2312" w:eastAsia="仿宋_GB2312" w:cs="仿宋_GB2312"/>
          <w:b w:val="0"/>
          <w:bCs w:val="0"/>
          <w:sz w:val="28"/>
          <w:szCs w:val="28"/>
          <w:lang w:val="en-US" w:eastAsia="zh-CN"/>
        </w:rPr>
        <w:t>2025年2月10日</w:t>
      </w: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jc w:val="center"/>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营口市科学技术协会</w:t>
      </w:r>
      <w:r>
        <w:rPr>
          <w:rFonts w:hint="eastAsia" w:ascii="宋体" w:hAnsi="宋体"/>
          <w:b/>
          <w:sz w:val="36"/>
          <w:szCs w:val="36"/>
        </w:rPr>
        <w:t>概况</w:t>
      </w:r>
    </w:p>
    <w:p>
      <w:pPr>
        <w:spacing w:line="560" w:lineRule="exact"/>
        <w:ind w:firstLine="646" w:firstLineChars="200"/>
        <w:jc w:val="left"/>
        <w:rPr>
          <w:rFonts w:ascii="黑体" w:eastAsia="黑体"/>
          <w:sz w:val="32"/>
          <w:szCs w:val="32"/>
        </w:rPr>
      </w:pPr>
    </w:p>
    <w:p>
      <w:pPr>
        <w:spacing w:line="560" w:lineRule="exact"/>
        <w:ind w:firstLine="646" w:firstLineChars="200"/>
        <w:jc w:val="left"/>
        <w:rPr>
          <w:rFonts w:ascii="黑体" w:eastAsia="黑体"/>
          <w:sz w:val="32"/>
          <w:szCs w:val="32"/>
        </w:rPr>
      </w:pPr>
      <w:r>
        <w:rPr>
          <w:rFonts w:hint="eastAsia" w:ascii="黑体" w:eastAsia="黑体"/>
          <w:sz w:val="32"/>
          <w:szCs w:val="32"/>
        </w:rPr>
        <w:t>一、部门职责</w:t>
      </w:r>
    </w:p>
    <w:p>
      <w:pPr>
        <w:widowControl/>
        <w:spacing w:line="600" w:lineRule="exact"/>
        <w:ind w:firstLine="646" w:firstLineChars="200"/>
        <w:jc w:val="left"/>
        <w:rPr>
          <w:rFonts w:hint="eastAsia" w:ascii="仿宋" w:hAnsi="仿宋" w:eastAsia="仿宋"/>
          <w:sz w:val="32"/>
          <w:szCs w:val="32"/>
        </w:rPr>
      </w:pPr>
      <w:r>
        <w:rPr>
          <w:rFonts w:hint="eastAsia" w:ascii="仿宋" w:hAnsi="仿宋" w:eastAsia="仿宋"/>
          <w:sz w:val="32"/>
          <w:szCs w:val="32"/>
        </w:rPr>
        <w:t>营口市科学技术协会（简称营口市科协）隶属国家行政机关，是营口市科学技术工作者的群众组织，是中国共产党领导下的人民团体，是党和政府联系科学技术工作者的桥梁和纽带，是国家推动科学技术事业发展的重要力量。</w:t>
      </w:r>
    </w:p>
    <w:p>
      <w:pPr>
        <w:spacing w:line="560" w:lineRule="exact"/>
        <w:ind w:firstLine="646" w:firstLineChars="200"/>
        <w:jc w:val="left"/>
        <w:rPr>
          <w:rFonts w:ascii="黑体" w:eastAsia="黑体"/>
          <w:sz w:val="32"/>
          <w:szCs w:val="32"/>
        </w:rPr>
      </w:pPr>
      <w:r>
        <w:rPr>
          <w:rFonts w:hint="eastAsia" w:ascii="黑体" w:eastAsia="黑体"/>
          <w:sz w:val="32"/>
          <w:szCs w:val="32"/>
        </w:rPr>
        <w:t>二、机构设置</w:t>
      </w:r>
    </w:p>
    <w:p>
      <w:pPr>
        <w:spacing w:line="560" w:lineRule="exact"/>
        <w:ind w:firstLine="646"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纳入</w:t>
      </w:r>
      <w:r>
        <w:rPr>
          <w:rFonts w:hint="eastAsia" w:ascii="仿宋" w:hAnsi="仿宋" w:eastAsia="仿宋" w:cs="仿宋"/>
          <w:b w:val="0"/>
          <w:bCs/>
          <w:sz w:val="32"/>
          <w:szCs w:val="32"/>
          <w:lang w:eastAsia="zh-CN"/>
        </w:rPr>
        <w:t>营口市科学技术协会</w:t>
      </w:r>
      <w:r>
        <w:rPr>
          <w:rFonts w:hint="eastAsia" w:ascii="仿宋" w:hAnsi="仿宋" w:eastAsia="仿宋" w:cs="仿宋"/>
          <w:b w:val="0"/>
          <w:bCs/>
          <w:sz w:val="32"/>
          <w:szCs w:val="32"/>
          <w:lang w:val="en-US" w:eastAsia="zh-CN"/>
        </w:rPr>
        <w:t>2026</w:t>
      </w:r>
      <w:r>
        <w:rPr>
          <w:rFonts w:hint="eastAsia" w:ascii="仿宋" w:hAnsi="仿宋" w:eastAsia="仿宋" w:cs="仿宋"/>
          <w:b w:val="0"/>
          <w:bCs/>
          <w:sz w:val="32"/>
          <w:szCs w:val="32"/>
        </w:rPr>
        <w:t>年部门预算编制范围的二级预算单位包括：</w:t>
      </w:r>
    </w:p>
    <w:p>
      <w:pPr>
        <w:numPr>
          <w:ilvl w:val="0"/>
          <w:numId w:val="0"/>
        </w:numPr>
        <w:spacing w:line="560" w:lineRule="exact"/>
        <w:ind w:leftChars="0" w:firstLine="646"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营口市科学技术协会</w:t>
      </w:r>
      <w:r>
        <w:rPr>
          <w:rFonts w:hint="eastAsia" w:ascii="仿宋" w:hAnsi="仿宋" w:eastAsia="仿宋" w:cs="仿宋"/>
          <w:sz w:val="32"/>
          <w:szCs w:val="32"/>
          <w:lang w:val="en-US" w:eastAsia="zh-CN"/>
        </w:rPr>
        <w:t>本级</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sz w:val="32"/>
          <w:szCs w:val="32"/>
          <w:lang w:val="en-US" w:eastAsia="zh-CN"/>
        </w:rPr>
        <w:t>2.营口市科学技术馆</w:t>
      </w: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rPr>
          <w:rFonts w:ascii="黑体" w:eastAsia="黑体"/>
          <w:sz w:val="36"/>
          <w:szCs w:val="36"/>
        </w:rPr>
      </w:pPr>
    </w:p>
    <w:p>
      <w:pPr>
        <w:spacing w:line="560" w:lineRule="exact"/>
        <w:jc w:val="both"/>
        <w:rPr>
          <w:rFonts w:ascii="宋体" w:hAnsi="宋体"/>
          <w:b/>
          <w:sz w:val="36"/>
          <w:szCs w:val="36"/>
        </w:rPr>
      </w:pPr>
    </w:p>
    <w:p>
      <w:pPr>
        <w:spacing w:line="560" w:lineRule="exact"/>
        <w:jc w:val="center"/>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营口市科学技术协会</w:t>
      </w:r>
      <w:r>
        <w:rPr>
          <w:rFonts w:hint="eastAsia" w:ascii="宋体" w:hAnsi="宋体"/>
          <w:b/>
          <w:sz w:val="36"/>
          <w:szCs w:val="36"/>
          <w:lang w:val="en-US" w:eastAsia="zh-CN"/>
        </w:rPr>
        <w:t>2026</w:t>
      </w:r>
      <w:r>
        <w:rPr>
          <w:rFonts w:hint="eastAsia" w:ascii="宋体" w:hAnsi="宋体"/>
          <w:b/>
          <w:sz w:val="36"/>
          <w:szCs w:val="36"/>
        </w:rPr>
        <w:t>年部门预算情况说明</w:t>
      </w:r>
    </w:p>
    <w:p>
      <w:pPr>
        <w:spacing w:line="560" w:lineRule="exact"/>
        <w:jc w:val="center"/>
        <w:rPr>
          <w:rFonts w:ascii="宋体" w:hAnsi="宋体"/>
          <w:b/>
          <w:sz w:val="36"/>
          <w:szCs w:val="36"/>
        </w:rPr>
      </w:pPr>
    </w:p>
    <w:p>
      <w:pPr>
        <w:spacing w:line="560" w:lineRule="exact"/>
        <w:ind w:firstLine="632" w:firstLineChars="196"/>
        <w:rPr>
          <w:rFonts w:ascii="黑体" w:hAnsi="黑体" w:eastAsia="黑体"/>
          <w:sz w:val="32"/>
          <w:szCs w:val="32"/>
          <w:highlight w:val="none"/>
        </w:rPr>
      </w:pPr>
      <w:r>
        <w:rPr>
          <w:rFonts w:hint="eastAsia" w:ascii="黑体" w:hAnsi="黑体" w:eastAsia="黑体"/>
          <w:sz w:val="32"/>
          <w:szCs w:val="32"/>
          <w:highlight w:val="none"/>
        </w:rPr>
        <w:t>一、综合预算收支指标情况</w:t>
      </w:r>
    </w:p>
    <w:p>
      <w:pPr>
        <w:spacing w:line="560" w:lineRule="exact"/>
        <w:ind w:firstLine="660"/>
        <w:rPr>
          <w:rFonts w:ascii="仿宋_GB2312" w:hAnsi="宋体" w:eastAsia="仿宋_GB2312"/>
          <w:sz w:val="32"/>
          <w:szCs w:val="32"/>
          <w:highlight w:val="none"/>
        </w:rPr>
      </w:pPr>
      <w:r>
        <w:rPr>
          <w:rFonts w:hint="eastAsia" w:ascii="楷体" w:hAnsi="楷体" w:eastAsia="楷体"/>
          <w:b/>
          <w:sz w:val="32"/>
          <w:szCs w:val="32"/>
          <w:highlight w:val="none"/>
        </w:rPr>
        <w:t>（一）收入预算</w:t>
      </w:r>
      <w:r>
        <w:rPr>
          <w:rFonts w:hint="eastAsia" w:ascii="楷体" w:hAnsi="楷体" w:eastAsia="楷体"/>
          <w:b/>
          <w:sz w:val="32"/>
          <w:szCs w:val="32"/>
          <w:highlight w:val="none"/>
          <w:lang w:val="en-US" w:eastAsia="zh-CN"/>
        </w:rPr>
        <w:t>426.89</w:t>
      </w:r>
      <w:r>
        <w:rPr>
          <w:rFonts w:hint="eastAsia" w:ascii="楷体" w:hAnsi="楷体" w:eastAsia="楷体"/>
          <w:b/>
          <w:sz w:val="32"/>
          <w:szCs w:val="32"/>
          <w:highlight w:val="none"/>
        </w:rPr>
        <w:t>万元，</w:t>
      </w:r>
      <w:r>
        <w:rPr>
          <w:rFonts w:hint="eastAsia" w:ascii="仿宋_GB2312" w:hAnsi="宋体" w:eastAsia="仿宋_GB2312"/>
          <w:sz w:val="32"/>
          <w:szCs w:val="32"/>
          <w:highlight w:val="none"/>
        </w:rPr>
        <w:t>其中：</w:t>
      </w:r>
    </w:p>
    <w:p>
      <w:pPr>
        <w:spacing w:line="560" w:lineRule="exact"/>
        <w:ind w:firstLine="660"/>
        <w:rPr>
          <w:rFonts w:ascii="仿宋_GB2312" w:hAnsi="宋体" w:eastAsia="仿宋_GB2312"/>
          <w:sz w:val="32"/>
          <w:szCs w:val="32"/>
          <w:highlight w:val="none"/>
        </w:rPr>
      </w:pPr>
      <w:r>
        <w:rPr>
          <w:rFonts w:hint="eastAsia" w:ascii="仿宋_GB2312" w:hAnsi="宋体" w:eastAsia="仿宋_GB2312"/>
          <w:sz w:val="32"/>
          <w:szCs w:val="32"/>
          <w:highlight w:val="none"/>
        </w:rPr>
        <w:t>1.一般公共预算拨款收入</w:t>
      </w:r>
      <w:r>
        <w:rPr>
          <w:rFonts w:hint="eastAsia" w:ascii="仿宋_GB2312" w:hAnsi="宋体" w:eastAsia="仿宋_GB2312"/>
          <w:sz w:val="32"/>
          <w:szCs w:val="32"/>
          <w:highlight w:val="none"/>
          <w:lang w:val="en-US" w:eastAsia="zh-CN"/>
        </w:rPr>
        <w:t>414.17</w:t>
      </w:r>
      <w:r>
        <w:rPr>
          <w:rFonts w:hint="eastAsia" w:ascii="仿宋_GB2312" w:hAnsi="宋体" w:eastAsia="仿宋_GB2312"/>
          <w:sz w:val="32"/>
          <w:szCs w:val="32"/>
          <w:highlight w:val="none"/>
        </w:rPr>
        <w:t>万元；</w:t>
      </w:r>
    </w:p>
    <w:p>
      <w:pPr>
        <w:spacing w:line="560" w:lineRule="exact"/>
        <w:ind w:firstLine="660"/>
        <w:rPr>
          <w:rFonts w:ascii="仿宋_GB2312" w:hAnsi="宋体" w:eastAsia="仿宋_GB2312"/>
          <w:sz w:val="32"/>
          <w:szCs w:val="32"/>
          <w:highlight w:val="none"/>
        </w:rPr>
      </w:pPr>
      <w:r>
        <w:rPr>
          <w:rFonts w:hint="eastAsia" w:ascii="仿宋_GB2312" w:hAnsi="宋体" w:eastAsia="仿宋_GB2312"/>
          <w:sz w:val="32"/>
          <w:szCs w:val="32"/>
          <w:highlight w:val="none"/>
        </w:rPr>
        <w:t>2.政府性基金预算拨款收入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p>
    <w:p>
      <w:pPr>
        <w:spacing w:line="560" w:lineRule="exact"/>
        <w:ind w:left="647" w:leftChars="304" w:firstLine="16" w:firstLineChars="5"/>
        <w:rPr>
          <w:rFonts w:ascii="仿宋_GB2312" w:hAnsi="宋体" w:eastAsia="仿宋_GB2312"/>
          <w:sz w:val="32"/>
          <w:szCs w:val="32"/>
          <w:highlight w:val="none"/>
        </w:rPr>
      </w:pPr>
      <w:r>
        <w:rPr>
          <w:rFonts w:hint="eastAsia" w:ascii="仿宋_GB2312" w:hAnsi="宋体" w:eastAsia="仿宋_GB2312"/>
          <w:sz w:val="32"/>
          <w:szCs w:val="32"/>
          <w:highlight w:val="none"/>
        </w:rPr>
        <w:t>3.国有资本经营预算拨款收入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p>
    <w:p>
      <w:pPr>
        <w:spacing w:line="560" w:lineRule="exact"/>
        <w:ind w:left="647" w:leftChars="304" w:firstLine="16" w:firstLineChars="5"/>
        <w:rPr>
          <w:rFonts w:ascii="仿宋_GB2312" w:hAnsi="宋体" w:eastAsia="仿宋_GB2312"/>
          <w:sz w:val="32"/>
          <w:szCs w:val="32"/>
          <w:highlight w:val="none"/>
        </w:rPr>
      </w:pPr>
      <w:r>
        <w:rPr>
          <w:rFonts w:hint="eastAsia" w:ascii="仿宋_GB2312" w:hAnsi="宋体" w:eastAsia="仿宋_GB2312"/>
          <w:sz w:val="32"/>
          <w:szCs w:val="32"/>
          <w:highlight w:val="none"/>
        </w:rPr>
        <w:t>4.财政专户管理资金收入</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w:t>
      </w:r>
    </w:p>
    <w:p>
      <w:pPr>
        <w:spacing w:line="560" w:lineRule="exact"/>
        <w:ind w:firstLine="646" w:firstLineChars="200"/>
        <w:rPr>
          <w:rFonts w:ascii="仿宋_GB2312" w:eastAsia="仿宋_GB2312"/>
          <w:sz w:val="32"/>
          <w:szCs w:val="32"/>
          <w:highlight w:val="none"/>
        </w:rPr>
      </w:pPr>
      <w:r>
        <w:rPr>
          <w:rFonts w:hint="eastAsia" w:ascii="仿宋_GB2312" w:eastAsia="仿宋_GB2312" w:cs="仿宋_GB2312"/>
          <w:sz w:val="32"/>
          <w:szCs w:val="32"/>
          <w:highlight w:val="none"/>
        </w:rPr>
        <w:t>5.</w:t>
      </w:r>
      <w:r>
        <w:rPr>
          <w:rFonts w:hint="eastAsia" w:ascii="仿宋_GB2312" w:eastAsia="仿宋_GB2312"/>
          <w:sz w:val="32"/>
          <w:szCs w:val="32"/>
          <w:highlight w:val="none"/>
        </w:rPr>
        <w:t>单位资金收入</w:t>
      </w:r>
      <w:r>
        <w:rPr>
          <w:rFonts w:hint="eastAsia" w:ascii="仿宋_GB2312" w:hAnsi="宋体"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cs="仿宋_GB2312"/>
          <w:sz w:val="32"/>
          <w:szCs w:val="32"/>
          <w:highlight w:val="none"/>
        </w:rPr>
        <w:t>，其中：事业收入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万元，事业单位经营收入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万元，上级补助收入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万元，附属单位上缴收入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万元，其他收入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w:t>
      </w:r>
    </w:p>
    <w:p>
      <w:pPr>
        <w:spacing w:line="560" w:lineRule="exact"/>
        <w:ind w:firstLine="646" w:firstLineChars="200"/>
        <w:rPr>
          <w:rFonts w:ascii="仿宋_GB2312" w:hAnsi="宋体" w:eastAsia="仿宋_GB2312"/>
          <w:sz w:val="32"/>
          <w:szCs w:val="32"/>
          <w:highlight w:val="none"/>
        </w:rPr>
      </w:pPr>
      <w:r>
        <w:rPr>
          <w:rFonts w:hint="eastAsia" w:ascii="仿宋_GB2312" w:eastAsia="仿宋_GB2312" w:cs="仿宋_GB2312"/>
          <w:sz w:val="32"/>
          <w:szCs w:val="32"/>
          <w:highlight w:val="none"/>
        </w:rPr>
        <w:t>6.</w:t>
      </w:r>
      <w:r>
        <w:rPr>
          <w:rFonts w:hint="eastAsia" w:ascii="仿宋_GB2312" w:eastAsia="仿宋_GB2312"/>
          <w:sz w:val="32"/>
          <w:szCs w:val="32"/>
          <w:highlight w:val="none"/>
        </w:rPr>
        <w:t>上年结转结余</w:t>
      </w:r>
      <w:r>
        <w:rPr>
          <w:rFonts w:hint="eastAsia" w:ascii="仿宋_GB2312" w:hAnsi="宋体" w:eastAsia="仿宋_GB2312"/>
          <w:sz w:val="32"/>
          <w:szCs w:val="32"/>
          <w:highlight w:val="none"/>
          <w:lang w:val="en-US" w:eastAsia="zh-CN"/>
        </w:rPr>
        <w:t>12.72</w:t>
      </w:r>
      <w:r>
        <w:rPr>
          <w:rFonts w:hint="eastAsia" w:ascii="仿宋_GB2312" w:eastAsia="仿宋_GB2312"/>
          <w:sz w:val="32"/>
          <w:szCs w:val="32"/>
          <w:highlight w:val="none"/>
        </w:rPr>
        <w:t>万元</w:t>
      </w:r>
      <w:r>
        <w:rPr>
          <w:rFonts w:hint="eastAsia" w:ascii="仿宋_GB2312" w:eastAsia="仿宋_GB2312" w:cs="仿宋_GB2312"/>
          <w:sz w:val="32"/>
          <w:szCs w:val="32"/>
          <w:highlight w:val="none"/>
        </w:rPr>
        <w:t>，其中上年</w:t>
      </w:r>
      <w:r>
        <w:rPr>
          <w:rFonts w:hint="eastAsia" w:ascii="仿宋_GB2312" w:eastAsia="仿宋_GB2312"/>
          <w:sz w:val="32"/>
          <w:szCs w:val="32"/>
          <w:highlight w:val="none"/>
        </w:rPr>
        <w:t>财政专户管理资金超收收入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万元，政府性基金预算超收收入</w:t>
      </w:r>
      <w:r>
        <w:rPr>
          <w:rFonts w:hint="eastAsia" w:ascii="仿宋_GB2312" w:hAnsi="宋体" w:eastAsia="仿宋_GB2312"/>
          <w:sz w:val="32"/>
          <w:szCs w:val="32"/>
          <w:highlight w:val="none"/>
          <w:lang w:val="en-US" w:eastAsia="zh-CN"/>
        </w:rPr>
        <w:t>0</w:t>
      </w:r>
      <w:r>
        <w:rPr>
          <w:rFonts w:hint="eastAsia" w:ascii="仿宋_GB2312" w:eastAsia="仿宋_GB2312" w:cs="仿宋_GB2312"/>
          <w:sz w:val="32"/>
          <w:szCs w:val="32"/>
          <w:highlight w:val="none"/>
        </w:rPr>
        <w:t>万元</w:t>
      </w:r>
      <w:r>
        <w:rPr>
          <w:rFonts w:hint="eastAsia" w:ascii="仿宋_GB2312" w:eastAsia="仿宋_GB2312" w:cs="仿宋_GB231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
        </w:rPr>
        <w:t>单位资金超收收入</w:t>
      </w:r>
      <w:r>
        <w:rPr>
          <w:rFonts w:hint="eastAsia" w:ascii="仿宋_GB2312" w:hAnsi="宋体" w:eastAsia="仿宋_GB2312"/>
          <w:sz w:val="32"/>
          <w:szCs w:val="32"/>
          <w:highlight w:val="none"/>
          <w:lang w:eastAsia="zh-CN"/>
        </w:rPr>
        <w:t>0</w:t>
      </w:r>
      <w:r>
        <w:rPr>
          <w:rFonts w:hint="eastAsia" w:ascii="Times New Roman" w:hAnsi="Times New Roman" w:eastAsia="仿宋_GB2312" w:cs="Times New Roman"/>
          <w:kern w:val="2"/>
          <w:sz w:val="32"/>
          <w:szCs w:val="32"/>
          <w:highlight w:val="none"/>
          <w:lang w:val="en-US" w:eastAsia="zh-CN" w:bidi="ar"/>
        </w:rPr>
        <w:t>万元</w:t>
      </w:r>
      <w:r>
        <w:rPr>
          <w:rFonts w:hint="eastAsia" w:ascii="仿宋_GB2312" w:hAnsi="仿宋_GB2312" w:eastAsia="仿宋_GB2312" w:cs="仿宋_GB2312"/>
          <w:sz w:val="32"/>
          <w:szCs w:val="32"/>
          <w:highlight w:val="none"/>
        </w:rPr>
        <w:t>。</w:t>
      </w:r>
    </w:p>
    <w:p>
      <w:pPr>
        <w:spacing w:line="560" w:lineRule="exact"/>
        <w:ind w:left="647" w:leftChars="304" w:firstLine="16" w:firstLineChars="5"/>
        <w:rPr>
          <w:rFonts w:ascii="仿宋_GB2312" w:hAnsi="宋体" w:eastAsia="仿宋_GB2312"/>
          <w:color w:val="auto"/>
          <w:sz w:val="32"/>
          <w:szCs w:val="32"/>
          <w:highlight w:val="none"/>
        </w:rPr>
      </w:pPr>
      <w:r>
        <w:rPr>
          <w:rFonts w:hint="eastAsia" w:ascii="楷体" w:hAnsi="楷体" w:eastAsia="楷体"/>
          <w:b/>
          <w:color w:val="auto"/>
          <w:sz w:val="32"/>
          <w:szCs w:val="32"/>
          <w:highlight w:val="none"/>
        </w:rPr>
        <w:t>（二）支出预算</w:t>
      </w:r>
      <w:r>
        <w:rPr>
          <w:rFonts w:hint="eastAsia" w:ascii="楷体" w:hAnsi="楷体" w:eastAsia="楷体"/>
          <w:b/>
          <w:sz w:val="32"/>
          <w:szCs w:val="32"/>
          <w:highlight w:val="none"/>
          <w:lang w:val="en-US" w:eastAsia="zh-CN"/>
        </w:rPr>
        <w:t>426.89</w:t>
      </w:r>
      <w:r>
        <w:rPr>
          <w:rFonts w:hint="eastAsia" w:ascii="楷体" w:hAnsi="楷体" w:eastAsia="楷体"/>
          <w:b/>
          <w:color w:val="auto"/>
          <w:sz w:val="32"/>
          <w:szCs w:val="32"/>
          <w:highlight w:val="none"/>
        </w:rPr>
        <w:t>万元，</w:t>
      </w:r>
      <w:r>
        <w:rPr>
          <w:rFonts w:hint="eastAsia" w:ascii="仿宋_GB2312" w:hAnsi="宋体" w:eastAsia="仿宋_GB2312"/>
          <w:color w:val="auto"/>
          <w:sz w:val="32"/>
          <w:szCs w:val="32"/>
          <w:highlight w:val="none"/>
        </w:rPr>
        <w:t>其中：</w:t>
      </w:r>
    </w:p>
    <w:p>
      <w:pPr>
        <w:autoSpaceDE w:val="0"/>
        <w:spacing w:line="560" w:lineRule="exact"/>
        <w:ind w:firstLine="646"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1.基本支出</w:t>
      </w:r>
      <w:r>
        <w:rPr>
          <w:rFonts w:hint="eastAsia" w:ascii="仿宋_GB2312" w:hAnsi="宋体" w:eastAsia="仿宋_GB2312"/>
          <w:color w:val="auto"/>
          <w:sz w:val="32"/>
          <w:szCs w:val="32"/>
          <w:highlight w:val="none"/>
          <w:lang w:val="en-US" w:eastAsia="zh-CN"/>
        </w:rPr>
        <w:t>343.12</w:t>
      </w:r>
      <w:r>
        <w:rPr>
          <w:rFonts w:hint="eastAsia" w:ascii="仿宋_GB2312" w:hAnsi="宋体" w:eastAsia="仿宋_GB2312"/>
          <w:color w:val="auto"/>
          <w:sz w:val="32"/>
          <w:szCs w:val="32"/>
          <w:highlight w:val="none"/>
        </w:rPr>
        <w:t>万元</w:t>
      </w:r>
      <w:r>
        <w:rPr>
          <w:rFonts w:hint="eastAsia" w:ascii="仿宋_GB2312" w:eastAsia="仿宋_GB2312"/>
          <w:color w:val="auto"/>
          <w:sz w:val="32"/>
          <w:szCs w:val="32"/>
          <w:highlight w:val="none"/>
        </w:rPr>
        <w:t>；</w:t>
      </w:r>
    </w:p>
    <w:p>
      <w:pPr>
        <w:autoSpaceDE w:val="0"/>
        <w:spacing w:line="560" w:lineRule="exact"/>
        <w:ind w:firstLine="646"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2.项目支出</w:t>
      </w:r>
      <w:r>
        <w:rPr>
          <w:rFonts w:hint="eastAsia" w:ascii="仿宋_GB2312" w:hAnsi="宋体" w:eastAsia="仿宋_GB2312"/>
          <w:color w:val="auto"/>
          <w:sz w:val="32"/>
          <w:szCs w:val="32"/>
          <w:highlight w:val="none"/>
          <w:lang w:val="en-US" w:eastAsia="zh-CN"/>
        </w:rPr>
        <w:t>71.05</w:t>
      </w:r>
      <w:r>
        <w:rPr>
          <w:rFonts w:hint="eastAsia" w:ascii="仿宋_GB2312" w:eastAsia="仿宋_GB2312"/>
          <w:color w:val="auto"/>
          <w:sz w:val="32"/>
          <w:szCs w:val="32"/>
          <w:highlight w:val="none"/>
        </w:rPr>
        <w:t>万元；</w:t>
      </w:r>
    </w:p>
    <w:p>
      <w:pPr>
        <w:autoSpaceDE w:val="0"/>
        <w:spacing w:line="560" w:lineRule="exact"/>
        <w:ind w:firstLine="646"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3.年终结转结余12.72万元。</w:t>
      </w:r>
    </w:p>
    <w:p>
      <w:pPr>
        <w:spacing w:line="560" w:lineRule="exact"/>
        <w:ind w:firstLine="646" w:firstLineChars="200"/>
        <w:jc w:val="distribute"/>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在支出预算中债务支出</w:t>
      </w:r>
      <w:r>
        <w:rPr>
          <w:rFonts w:hint="eastAsia" w:ascii="仿宋_GB2312" w:hAnsi="宋体" w:eastAsia="仿宋_GB2312"/>
          <w:color w:val="auto"/>
          <w:sz w:val="32"/>
          <w:szCs w:val="32"/>
          <w:highlight w:val="none"/>
          <w:lang w:eastAsia="zh-CN"/>
        </w:rPr>
        <w:t>0</w:t>
      </w:r>
      <w:r>
        <w:rPr>
          <w:rFonts w:hint="eastAsia" w:ascii="仿宋_GB2312" w:eastAsia="仿宋_GB2312" w:cs="仿宋_GB2312"/>
          <w:color w:val="auto"/>
          <w:sz w:val="32"/>
          <w:szCs w:val="32"/>
          <w:highlight w:val="none"/>
        </w:rPr>
        <w:t>万元；政府采购支出</w:t>
      </w:r>
    </w:p>
    <w:p>
      <w:pPr>
        <w:spacing w:line="560" w:lineRule="exact"/>
        <w:rPr>
          <w:rFonts w:ascii="仿宋_GB2312" w:eastAsia="仿宋_GB2312" w:cs="仿宋_GB2312"/>
          <w:color w:val="auto"/>
          <w:sz w:val="32"/>
          <w:szCs w:val="32"/>
          <w:highlight w:val="none"/>
        </w:rPr>
      </w:pPr>
      <w:r>
        <w:rPr>
          <w:rFonts w:hint="eastAsia" w:ascii="仿宋_GB2312" w:hAnsi="宋体" w:eastAsia="仿宋_GB2312"/>
          <w:color w:val="auto"/>
          <w:sz w:val="32"/>
          <w:szCs w:val="32"/>
          <w:highlight w:val="none"/>
          <w:lang w:eastAsia="zh-CN"/>
        </w:rPr>
        <w:t>0</w:t>
      </w:r>
      <w:r>
        <w:rPr>
          <w:rFonts w:hint="eastAsia" w:ascii="仿宋_GB2312" w:eastAsia="仿宋_GB2312" w:cs="仿宋_GB2312"/>
          <w:color w:val="auto"/>
          <w:sz w:val="32"/>
          <w:szCs w:val="32"/>
          <w:highlight w:val="none"/>
        </w:rPr>
        <w:t>万元；政府购买服务支出</w:t>
      </w:r>
      <w:r>
        <w:rPr>
          <w:rFonts w:hint="eastAsia" w:ascii="仿宋_GB2312" w:hAnsi="宋体" w:eastAsia="仿宋_GB2312"/>
          <w:color w:val="auto"/>
          <w:sz w:val="32"/>
          <w:szCs w:val="32"/>
          <w:highlight w:val="none"/>
          <w:lang w:eastAsia="zh-CN"/>
        </w:rPr>
        <w:t>0</w:t>
      </w:r>
      <w:r>
        <w:rPr>
          <w:rFonts w:hint="eastAsia" w:ascii="仿宋_GB2312" w:eastAsia="仿宋_GB2312" w:cs="仿宋_GB2312"/>
          <w:color w:val="auto"/>
          <w:sz w:val="32"/>
          <w:szCs w:val="32"/>
          <w:highlight w:val="none"/>
        </w:rPr>
        <w:t>万元；纳入预算绩效管理的特定目标类</w:t>
      </w:r>
      <w:r>
        <w:rPr>
          <w:rFonts w:hint="eastAsia" w:ascii="仿宋_GB2312" w:eastAsia="仿宋_GB2312" w:cs="仿宋_GB2312"/>
          <w:color w:val="auto"/>
          <w:sz w:val="32"/>
          <w:szCs w:val="32"/>
          <w:highlight w:val="none"/>
          <w:lang w:eastAsia="zh-CN"/>
        </w:rPr>
        <w:t>和其他运转类</w:t>
      </w:r>
      <w:r>
        <w:rPr>
          <w:rFonts w:hint="eastAsia" w:ascii="仿宋_GB2312" w:eastAsia="仿宋_GB2312" w:cs="仿宋_GB2312"/>
          <w:color w:val="auto"/>
          <w:sz w:val="32"/>
          <w:szCs w:val="32"/>
          <w:highlight w:val="none"/>
        </w:rPr>
        <w:t>项目共</w:t>
      </w:r>
      <w:r>
        <w:rPr>
          <w:rFonts w:hint="eastAsia" w:ascii="仿宋_GB2312" w:hAnsi="宋体" w:eastAsia="仿宋_GB2312"/>
          <w:color w:val="auto"/>
          <w:sz w:val="32"/>
          <w:szCs w:val="32"/>
          <w:highlight w:val="none"/>
          <w:lang w:val="en-US" w:eastAsia="zh-CN"/>
        </w:rPr>
        <w:t>7</w:t>
      </w:r>
      <w:r>
        <w:rPr>
          <w:rFonts w:hint="eastAsia" w:ascii="仿宋_GB2312" w:eastAsia="仿宋_GB2312" w:cs="仿宋_GB2312"/>
          <w:color w:val="auto"/>
          <w:sz w:val="32"/>
          <w:szCs w:val="32"/>
          <w:highlight w:val="none"/>
        </w:rPr>
        <w:t>个，涉及资金</w:t>
      </w:r>
      <w:r>
        <w:rPr>
          <w:rFonts w:hint="eastAsia" w:ascii="仿宋_GB2312" w:hAnsi="宋体" w:eastAsia="仿宋_GB2312"/>
          <w:color w:val="auto"/>
          <w:sz w:val="32"/>
          <w:szCs w:val="32"/>
          <w:highlight w:val="none"/>
          <w:lang w:val="en-US" w:eastAsia="zh-CN"/>
        </w:rPr>
        <w:t>71.05</w:t>
      </w:r>
      <w:r>
        <w:rPr>
          <w:rFonts w:hint="eastAsia" w:ascii="仿宋_GB2312" w:eastAsia="仿宋_GB2312" w:cs="仿宋_GB2312"/>
          <w:color w:val="auto"/>
          <w:sz w:val="32"/>
          <w:szCs w:val="32"/>
          <w:highlight w:val="none"/>
        </w:rPr>
        <w:t xml:space="preserve">万元。 </w:t>
      </w:r>
    </w:p>
    <w:p>
      <w:pPr>
        <w:spacing w:line="560" w:lineRule="exact"/>
        <w:ind w:firstLine="646"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w:t>
      </w:r>
      <w:r>
        <w:rPr>
          <w:rFonts w:hint="eastAsia" w:ascii="黑体" w:hAnsi="黑体" w:eastAsia="黑体"/>
          <w:color w:val="auto"/>
          <w:sz w:val="32"/>
          <w:szCs w:val="32"/>
          <w:highlight w:val="none"/>
          <w:lang w:val="en-US" w:eastAsia="zh-CN"/>
        </w:rPr>
        <w:t>一般公共</w:t>
      </w:r>
      <w:r>
        <w:rPr>
          <w:rFonts w:hint="eastAsia" w:ascii="黑体" w:hAnsi="黑体" w:eastAsia="黑体"/>
          <w:color w:val="auto"/>
          <w:sz w:val="32"/>
          <w:szCs w:val="32"/>
          <w:highlight w:val="none"/>
        </w:rPr>
        <w:t>预算收支比</w:t>
      </w:r>
      <w:r>
        <w:rPr>
          <w:rFonts w:hint="eastAsia" w:ascii="黑体" w:hAnsi="黑体" w:eastAsia="黑体"/>
          <w:color w:val="auto"/>
          <w:sz w:val="32"/>
          <w:szCs w:val="32"/>
          <w:highlight w:val="none"/>
          <w:lang w:eastAsia="zh-CN"/>
        </w:rPr>
        <w:t>上</w:t>
      </w:r>
      <w:r>
        <w:rPr>
          <w:rFonts w:hint="eastAsia" w:ascii="黑体" w:hAnsi="黑体" w:eastAsia="黑体"/>
          <w:color w:val="auto"/>
          <w:sz w:val="32"/>
          <w:szCs w:val="32"/>
          <w:highlight w:val="none"/>
        </w:rPr>
        <w:t>年</w:t>
      </w:r>
      <w:r>
        <w:rPr>
          <w:rFonts w:hint="eastAsia" w:ascii="黑体" w:hAnsi="黑体" w:eastAsia="黑体"/>
          <w:color w:val="auto"/>
          <w:sz w:val="32"/>
          <w:szCs w:val="32"/>
          <w:highlight w:val="none"/>
          <w:lang w:eastAsia="zh-CN"/>
        </w:rPr>
        <w:t>减少</w:t>
      </w:r>
      <w:r>
        <w:rPr>
          <w:rFonts w:hint="eastAsia" w:ascii="黑体" w:hAnsi="黑体" w:eastAsia="黑体"/>
          <w:color w:val="auto"/>
          <w:sz w:val="32"/>
          <w:szCs w:val="32"/>
          <w:highlight w:val="none"/>
          <w:lang w:val="en-US" w:eastAsia="zh-CN"/>
        </w:rPr>
        <w:t>37.81</w:t>
      </w:r>
      <w:r>
        <w:rPr>
          <w:rFonts w:hint="eastAsia" w:ascii="黑体" w:hAnsi="黑体" w:eastAsia="黑体"/>
          <w:color w:val="auto"/>
          <w:sz w:val="32"/>
          <w:szCs w:val="32"/>
          <w:highlight w:val="none"/>
        </w:rPr>
        <w:t>万元，增减变化的主要原因为</w:t>
      </w:r>
      <w:r>
        <w:rPr>
          <w:rFonts w:hint="eastAsia" w:ascii="黑体" w:hAnsi="黑体" w:eastAsia="黑体"/>
          <w:color w:val="auto"/>
          <w:sz w:val="32"/>
          <w:szCs w:val="32"/>
          <w:highlight w:val="none"/>
          <w:lang w:val="en-US" w:eastAsia="zh-CN"/>
        </w:rPr>
        <w:t>人员变化</w:t>
      </w:r>
      <w:r>
        <w:rPr>
          <w:rFonts w:hint="eastAsia" w:ascii="黑体" w:hAnsi="黑体" w:eastAsia="黑体"/>
          <w:color w:val="auto"/>
          <w:sz w:val="32"/>
          <w:szCs w:val="32"/>
          <w:highlight w:val="none"/>
        </w:rPr>
        <w:t>。</w:t>
      </w:r>
    </w:p>
    <w:p>
      <w:pPr>
        <w:spacing w:line="560" w:lineRule="exact"/>
        <w:ind w:firstLine="646" w:firstLineChars="200"/>
        <w:rPr>
          <w:rFonts w:ascii="黑体" w:hAnsi="黑体" w:eastAsia="黑体"/>
          <w:sz w:val="32"/>
          <w:szCs w:val="32"/>
        </w:rPr>
      </w:pPr>
      <w:r>
        <w:rPr>
          <w:rFonts w:hint="eastAsia" w:ascii="黑体" w:hAnsi="黑体" w:eastAsia="黑体"/>
          <w:sz w:val="32"/>
          <w:szCs w:val="32"/>
        </w:rPr>
        <w:t>二、部门管理专项资金情况</w:t>
      </w:r>
    </w:p>
    <w:p>
      <w:pPr>
        <w:spacing w:line="560" w:lineRule="exact"/>
        <w:ind w:firstLine="646"/>
        <w:rPr>
          <w:rFonts w:ascii="黑体" w:hAnsi="黑体" w:eastAsia="黑体" w:cs="黑体"/>
          <w:spacing w:val="-2"/>
          <w:kern w:val="0"/>
          <w:sz w:val="32"/>
          <w:szCs w:val="32"/>
          <w:highlight w:val="green"/>
        </w:rPr>
      </w:pPr>
      <w:r>
        <w:rPr>
          <w:rFonts w:hint="eastAsia" w:ascii="仿宋_GB2312" w:hAnsi="宋体" w:eastAsia="仿宋_GB2312"/>
          <w:sz w:val="32"/>
          <w:szCs w:val="32"/>
          <w:lang w:val="en-US" w:eastAsia="zh-CN"/>
        </w:rPr>
        <w:t>2026</w:t>
      </w:r>
      <w:r>
        <w:rPr>
          <w:rFonts w:hint="eastAsia" w:ascii="仿宋_GB2312" w:hAnsi="宋体" w:eastAsia="仿宋_GB2312"/>
          <w:sz w:val="32"/>
          <w:szCs w:val="32"/>
        </w:rPr>
        <w:t>年，</w:t>
      </w:r>
      <w:r>
        <w:rPr>
          <w:rFonts w:hint="eastAsia" w:ascii="仿宋_GB2312" w:hAnsi="宋体" w:eastAsia="仿宋_GB2312"/>
          <w:sz w:val="32"/>
          <w:szCs w:val="32"/>
          <w:lang w:eastAsia="zh-CN"/>
        </w:rPr>
        <w:t>营口市科学技术协会</w:t>
      </w:r>
      <w:r>
        <w:rPr>
          <w:rFonts w:hint="eastAsia" w:ascii="仿宋_GB2312" w:hAnsi="宋体" w:eastAsia="仿宋_GB2312"/>
          <w:sz w:val="32"/>
          <w:szCs w:val="32"/>
        </w:rPr>
        <w:t>管理专项资金共</w:t>
      </w:r>
      <w:r>
        <w:rPr>
          <w:rFonts w:hint="eastAsia" w:ascii="仿宋_GB2312" w:hAnsi="宋体" w:eastAsia="仿宋_GB2312"/>
          <w:sz w:val="32"/>
          <w:szCs w:val="32"/>
          <w:lang w:val="en-US" w:eastAsia="zh-CN"/>
        </w:rPr>
        <w:t>2</w:t>
      </w:r>
      <w:r>
        <w:rPr>
          <w:rFonts w:hint="eastAsia" w:ascii="仿宋_GB2312" w:hAnsi="宋体" w:eastAsia="仿宋_GB2312"/>
          <w:sz w:val="32"/>
          <w:szCs w:val="32"/>
        </w:rPr>
        <w:t>个，</w:t>
      </w:r>
      <w:r>
        <w:rPr>
          <w:rFonts w:hint="eastAsia" w:ascii="仿宋_GB2312" w:hAnsi="仿宋_GB2312" w:eastAsia="仿宋_GB2312"/>
          <w:spacing w:val="-2"/>
          <w:kern w:val="0"/>
          <w:sz w:val="32"/>
          <w:szCs w:val="32"/>
        </w:rPr>
        <w:t>涉及资金</w:t>
      </w:r>
      <w:r>
        <w:rPr>
          <w:rFonts w:hint="eastAsia" w:ascii="仿宋_GB2312" w:hAnsi="宋体" w:eastAsia="仿宋_GB2312"/>
          <w:sz w:val="32"/>
          <w:szCs w:val="32"/>
          <w:lang w:val="en-US" w:eastAsia="zh-CN"/>
        </w:rPr>
        <w:t>30</w:t>
      </w:r>
      <w:r>
        <w:rPr>
          <w:rFonts w:hint="eastAsia" w:ascii="仿宋_GB2312" w:hAnsi="仿宋_GB2312" w:eastAsia="仿宋_GB2312"/>
          <w:spacing w:val="-2"/>
          <w:kern w:val="0"/>
          <w:sz w:val="32"/>
          <w:szCs w:val="32"/>
        </w:rPr>
        <w:t>万元。其中：</w:t>
      </w:r>
      <w:r>
        <w:rPr>
          <w:rFonts w:hint="eastAsia" w:ascii="仿宋_GB2312" w:hAnsi="宋体" w:eastAsia="仿宋_GB2312"/>
          <w:sz w:val="32"/>
          <w:szCs w:val="32"/>
          <w:lang w:eastAsia="zh-CN"/>
        </w:rPr>
        <w:t>基层科行动计划</w:t>
      </w:r>
      <w:r>
        <w:rPr>
          <w:rFonts w:hint="eastAsia" w:ascii="仿宋_GB2312" w:hAnsi="仿宋_GB2312" w:eastAsia="仿宋_GB2312"/>
          <w:spacing w:val="-2"/>
          <w:kern w:val="0"/>
          <w:sz w:val="32"/>
          <w:szCs w:val="32"/>
        </w:rPr>
        <w:t>项目</w:t>
      </w:r>
      <w:r>
        <w:rPr>
          <w:rFonts w:hint="eastAsia" w:ascii="仿宋_GB2312" w:hAnsi="宋体" w:eastAsia="仿宋_GB2312"/>
          <w:sz w:val="32"/>
          <w:szCs w:val="32"/>
          <w:lang w:val="en-US" w:eastAsia="zh-CN"/>
        </w:rPr>
        <w:t>20</w:t>
      </w:r>
      <w:r>
        <w:rPr>
          <w:rFonts w:hint="eastAsia" w:ascii="仿宋_GB2312" w:hAnsi="仿宋_GB2312" w:eastAsia="仿宋_GB2312"/>
          <w:spacing w:val="-2"/>
          <w:kern w:val="0"/>
          <w:sz w:val="32"/>
          <w:szCs w:val="32"/>
        </w:rPr>
        <w:t>万元；</w:t>
      </w:r>
      <w:r>
        <w:rPr>
          <w:rFonts w:hint="eastAsia" w:ascii="仿宋_GB2312" w:hAnsi="宋体" w:eastAsia="仿宋_GB2312"/>
          <w:sz w:val="32"/>
          <w:szCs w:val="32"/>
          <w:lang w:eastAsia="zh-CN"/>
        </w:rPr>
        <w:t>创新驱动示范市建设</w:t>
      </w:r>
      <w:r>
        <w:rPr>
          <w:rFonts w:hint="eastAsia" w:ascii="仿宋_GB2312" w:hAnsi="仿宋_GB2312" w:eastAsia="仿宋_GB2312"/>
          <w:spacing w:val="-2"/>
          <w:kern w:val="0"/>
          <w:sz w:val="32"/>
          <w:szCs w:val="32"/>
        </w:rPr>
        <w:t>项目</w:t>
      </w:r>
      <w:r>
        <w:rPr>
          <w:rFonts w:hint="eastAsia" w:ascii="仿宋_GB2312" w:hAnsi="仿宋_GB2312" w:eastAsia="仿宋_GB2312"/>
          <w:spacing w:val="-2"/>
          <w:kern w:val="0"/>
          <w:sz w:val="32"/>
          <w:szCs w:val="32"/>
          <w:lang w:val="en-US" w:eastAsia="zh-CN"/>
        </w:rPr>
        <w:t>1</w:t>
      </w:r>
      <w:r>
        <w:rPr>
          <w:rFonts w:hint="eastAsia" w:ascii="仿宋_GB2312" w:hAnsi="宋体" w:eastAsia="仿宋_GB2312"/>
          <w:sz w:val="32"/>
          <w:szCs w:val="32"/>
          <w:lang w:eastAsia="zh-CN"/>
        </w:rPr>
        <w:t>0</w:t>
      </w:r>
      <w:r>
        <w:rPr>
          <w:rFonts w:hint="eastAsia" w:ascii="仿宋_GB2312" w:hAnsi="仿宋_GB2312" w:eastAsia="仿宋_GB2312"/>
          <w:spacing w:val="-2"/>
          <w:kern w:val="0"/>
          <w:sz w:val="32"/>
          <w:szCs w:val="32"/>
        </w:rPr>
        <w:t>万元（</w:t>
      </w:r>
      <w:r>
        <w:rPr>
          <w:rFonts w:hint="eastAsia" w:ascii="黑体" w:hAnsi="黑体" w:eastAsia="黑体" w:cs="黑体"/>
          <w:spacing w:val="-2"/>
          <w:kern w:val="0"/>
          <w:sz w:val="32"/>
          <w:szCs w:val="32"/>
        </w:rPr>
        <w:t>需列出所有项目</w:t>
      </w:r>
      <w:r>
        <w:rPr>
          <w:rFonts w:hint="eastAsia" w:ascii="仿宋_GB2312" w:hAnsi="仿宋_GB2312" w:eastAsia="仿宋_GB2312"/>
          <w:spacing w:val="-2"/>
          <w:kern w:val="0"/>
          <w:sz w:val="32"/>
          <w:szCs w:val="32"/>
        </w:rPr>
        <w:t>）。</w:t>
      </w:r>
    </w:p>
    <w:p>
      <w:pPr>
        <w:spacing w:line="560" w:lineRule="exact"/>
        <w:ind w:firstLine="645"/>
        <w:rPr>
          <w:rFonts w:ascii="黑体" w:hAnsi="宋体" w:eastAsia="黑体"/>
          <w:sz w:val="32"/>
          <w:szCs w:val="32"/>
        </w:rPr>
      </w:pPr>
      <w:r>
        <w:rPr>
          <w:rFonts w:hint="eastAsia" w:ascii="黑体" w:hAnsi="宋体" w:eastAsia="黑体"/>
          <w:sz w:val="32"/>
          <w:szCs w:val="32"/>
        </w:rPr>
        <w:t>三、机关运行经费安排情况</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lang w:val="en-US" w:eastAsia="zh-CN"/>
        </w:rPr>
        <w:t>2026</w:t>
      </w:r>
      <w:r>
        <w:rPr>
          <w:rFonts w:hint="eastAsia" w:ascii="仿宋_GB2312" w:hAnsi="宋体" w:eastAsia="仿宋_GB2312"/>
          <w:sz w:val="32"/>
          <w:szCs w:val="32"/>
        </w:rPr>
        <w:t>年</w:t>
      </w:r>
      <w:r>
        <w:rPr>
          <w:rFonts w:hint="eastAsia" w:ascii="仿宋_GB2312" w:hAnsi="宋体" w:eastAsia="仿宋_GB2312"/>
          <w:sz w:val="32"/>
          <w:szCs w:val="32"/>
          <w:lang w:eastAsia="zh-CN"/>
        </w:rPr>
        <w:t>营口市科学技术协会</w:t>
      </w:r>
      <w:r>
        <w:rPr>
          <w:rFonts w:hint="eastAsia" w:ascii="仿宋_GB2312" w:hAnsi="宋体" w:eastAsia="仿宋_GB2312"/>
          <w:sz w:val="32"/>
          <w:szCs w:val="32"/>
        </w:rPr>
        <w:t>机关运行经费预算为</w:t>
      </w:r>
      <w:r>
        <w:rPr>
          <w:rFonts w:hint="eastAsia" w:ascii="仿宋_GB2312" w:hAnsi="宋体" w:eastAsia="仿宋_GB2312"/>
          <w:sz w:val="32"/>
          <w:szCs w:val="32"/>
          <w:lang w:val="en-US" w:eastAsia="zh-CN"/>
        </w:rPr>
        <w:t>19.89</w:t>
      </w:r>
      <w:r>
        <w:rPr>
          <w:rFonts w:hint="eastAsia" w:ascii="仿宋_GB2312" w:hAnsi="宋体" w:eastAsia="仿宋_GB2312"/>
          <w:sz w:val="32"/>
          <w:szCs w:val="32"/>
        </w:rPr>
        <w:t>万元，主要包括</w:t>
      </w:r>
      <w:r>
        <w:rPr>
          <w:rFonts w:hint="eastAsia" w:ascii="仿宋_GB2312" w:hAnsi="宋体" w:eastAsia="仿宋_GB2312"/>
          <w:sz w:val="32"/>
          <w:szCs w:val="32"/>
          <w:lang w:eastAsia="zh-CN"/>
        </w:rPr>
        <w:t>办公费、取暖费、差旅费、工会经费、福利费、公务用车运行维护费、其他交通费用、其他商品和服务支出等</w:t>
      </w:r>
      <w:r>
        <w:rPr>
          <w:rFonts w:hint="eastAsia" w:ascii="仿宋_GB2312" w:hAnsi="宋体" w:eastAsia="仿宋_GB2312"/>
          <w:sz w:val="32"/>
          <w:szCs w:val="32"/>
        </w:rPr>
        <w:t>。</w:t>
      </w:r>
    </w:p>
    <w:p>
      <w:pPr>
        <w:spacing w:line="560" w:lineRule="exact"/>
        <w:ind w:firstLine="660"/>
        <w:rPr>
          <w:rFonts w:ascii="黑体" w:hAnsi="黑体" w:eastAsia="黑体"/>
          <w:sz w:val="32"/>
          <w:szCs w:val="32"/>
        </w:rPr>
      </w:pPr>
      <w:r>
        <w:rPr>
          <w:rFonts w:hint="eastAsia" w:ascii="黑体" w:hAnsi="黑体" w:eastAsia="黑体"/>
          <w:sz w:val="32"/>
          <w:szCs w:val="32"/>
        </w:rPr>
        <w:t>四、政府采购情况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2026年营口市科学技术协会安排政府采购预算0万元，具体为货物0万元，服务0万元，工程0万元；预留面向中小企业采购份额0万元，其中预留给小微企业0万元。</w:t>
      </w:r>
    </w:p>
    <w:p>
      <w:pPr>
        <w:spacing w:line="560" w:lineRule="exact"/>
        <w:ind w:firstLine="660"/>
        <w:rPr>
          <w:rFonts w:ascii="黑体" w:hAnsi="黑体" w:eastAsia="黑体"/>
          <w:sz w:val="32"/>
          <w:szCs w:val="32"/>
        </w:rPr>
      </w:pPr>
      <w:r>
        <w:rPr>
          <w:rFonts w:hint="eastAsia" w:ascii="黑体" w:hAnsi="黑体" w:eastAsia="黑体"/>
          <w:sz w:val="32"/>
          <w:szCs w:val="32"/>
        </w:rPr>
        <w:t>五、“三公”经费预算情况</w:t>
      </w:r>
    </w:p>
    <w:p>
      <w:pPr>
        <w:spacing w:line="560" w:lineRule="exact"/>
        <w:ind w:firstLine="660"/>
        <w:rPr>
          <w:rFonts w:ascii="仿宋_GB2312" w:eastAsia="仿宋_GB2312"/>
          <w:sz w:val="32"/>
          <w:szCs w:val="32"/>
        </w:rPr>
      </w:pP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eastAsia="zh-CN"/>
        </w:rPr>
        <w:t>营口市科学技术协会财政拨款</w:t>
      </w:r>
      <w:r>
        <w:rPr>
          <w:rFonts w:hint="eastAsia" w:ascii="仿宋_GB2312" w:eastAsia="仿宋_GB2312"/>
          <w:sz w:val="32"/>
          <w:szCs w:val="32"/>
        </w:rPr>
        <w:t>预算安排的 “三公”经费预算为</w:t>
      </w:r>
      <w:r>
        <w:rPr>
          <w:rFonts w:hint="eastAsia" w:ascii="仿宋_GB2312" w:eastAsia="仿宋_GB2312"/>
          <w:sz w:val="32"/>
          <w:szCs w:val="32"/>
          <w:lang w:val="en-US" w:eastAsia="zh-CN"/>
        </w:rPr>
        <w:t>2.25</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%。其中：</w:t>
      </w:r>
    </w:p>
    <w:p>
      <w:pPr>
        <w:spacing w:line="560" w:lineRule="exact"/>
        <w:ind w:firstLine="660"/>
        <w:rPr>
          <w:rFonts w:ascii="仿宋_GB2312" w:eastAsia="仿宋_GB2312"/>
          <w:sz w:val="32"/>
          <w:szCs w:val="32"/>
        </w:rPr>
      </w:pPr>
      <w:r>
        <w:rPr>
          <w:rFonts w:hint="eastAsia" w:ascii="仿宋_GB2312" w:eastAsia="仿宋_GB2312"/>
          <w:sz w:val="32"/>
          <w:szCs w:val="32"/>
        </w:rPr>
        <w:t>1.因公出国（境）费</w:t>
      </w:r>
      <w:r>
        <w:rPr>
          <w:rFonts w:hint="eastAsia" w:ascii="仿宋_GB2312" w:eastAsia="仿宋_GB2312"/>
          <w:sz w:val="32"/>
          <w:szCs w:val="32"/>
          <w:lang w:eastAsia="zh-CN"/>
        </w:rPr>
        <w:t>0</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%。主要原因为</w:t>
      </w:r>
      <w:r>
        <w:rPr>
          <w:rFonts w:hint="eastAsia" w:ascii="仿宋_GB2312" w:eastAsia="仿宋_GB2312"/>
          <w:sz w:val="32"/>
          <w:szCs w:val="32"/>
          <w:lang w:eastAsia="zh-CN"/>
        </w:rPr>
        <w:t>无</w:t>
      </w:r>
      <w:r>
        <w:rPr>
          <w:rFonts w:hint="eastAsia" w:ascii="仿宋_GB2312" w:eastAsia="仿宋_GB2312"/>
          <w:sz w:val="32"/>
          <w:szCs w:val="32"/>
        </w:rPr>
        <w:t>。</w:t>
      </w:r>
    </w:p>
    <w:p>
      <w:pPr>
        <w:spacing w:line="560" w:lineRule="exact"/>
        <w:ind w:firstLine="660"/>
        <w:rPr>
          <w:rFonts w:ascii="仿宋_GB2312" w:eastAsia="仿宋_GB2312"/>
          <w:sz w:val="32"/>
          <w:szCs w:val="32"/>
        </w:rPr>
      </w:pPr>
      <w:r>
        <w:rPr>
          <w:rFonts w:hint="eastAsia" w:ascii="仿宋_GB2312" w:eastAsia="仿宋_GB2312"/>
          <w:sz w:val="32"/>
          <w:szCs w:val="32"/>
        </w:rPr>
        <w:t>2.公务接待费</w:t>
      </w:r>
      <w:r>
        <w:rPr>
          <w:rFonts w:hint="eastAsia" w:ascii="仿宋_GB2312" w:eastAsia="仿宋_GB2312"/>
          <w:sz w:val="32"/>
          <w:szCs w:val="32"/>
          <w:lang w:eastAsia="zh-CN"/>
        </w:rPr>
        <w:t>0</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%。主要原因为</w:t>
      </w:r>
      <w:r>
        <w:rPr>
          <w:rFonts w:hint="eastAsia" w:ascii="仿宋_GB2312" w:eastAsia="仿宋_GB2312"/>
          <w:sz w:val="32"/>
          <w:szCs w:val="32"/>
          <w:lang w:eastAsia="zh-CN"/>
        </w:rPr>
        <w:t>无</w:t>
      </w:r>
      <w:r>
        <w:rPr>
          <w:rFonts w:hint="eastAsia" w:ascii="仿宋_GB2312" w:eastAsia="仿宋_GB2312"/>
          <w:sz w:val="32"/>
          <w:szCs w:val="32"/>
        </w:rPr>
        <w:t>。</w:t>
      </w:r>
    </w:p>
    <w:p>
      <w:pPr>
        <w:spacing w:line="560" w:lineRule="exact"/>
        <w:ind w:firstLine="660"/>
        <w:rPr>
          <w:rFonts w:ascii="仿宋_GB2312" w:eastAsia="仿宋_GB2312"/>
          <w:sz w:val="32"/>
          <w:szCs w:val="32"/>
        </w:rPr>
      </w:pPr>
      <w:r>
        <w:rPr>
          <w:rFonts w:hint="eastAsia" w:ascii="仿宋_GB2312" w:eastAsia="仿宋_GB2312"/>
          <w:sz w:val="32"/>
          <w:szCs w:val="32"/>
        </w:rPr>
        <w:t>3.公务用车购置及运行费</w:t>
      </w:r>
      <w:r>
        <w:rPr>
          <w:rFonts w:hint="eastAsia" w:ascii="仿宋_GB2312" w:eastAsia="仿宋_GB2312"/>
          <w:sz w:val="32"/>
          <w:szCs w:val="32"/>
          <w:lang w:val="en-US" w:eastAsia="zh-CN"/>
        </w:rPr>
        <w:t>2.25</w:t>
      </w:r>
      <w:r>
        <w:rPr>
          <w:rFonts w:hint="eastAsia" w:ascii="仿宋_GB2312" w:eastAsia="仿宋_GB2312"/>
          <w:sz w:val="32"/>
          <w:szCs w:val="32"/>
        </w:rPr>
        <w:t>万元（其中：公务用车购置费</w:t>
      </w:r>
      <w:r>
        <w:rPr>
          <w:rFonts w:hint="eastAsia" w:ascii="仿宋_GB2312" w:eastAsia="仿宋_GB2312"/>
          <w:sz w:val="32"/>
          <w:szCs w:val="32"/>
          <w:lang w:eastAsia="zh-CN"/>
        </w:rPr>
        <w:t>0</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%；公务用车运行费</w:t>
      </w:r>
      <w:r>
        <w:rPr>
          <w:rFonts w:hint="eastAsia" w:ascii="仿宋_GB2312" w:eastAsia="仿宋_GB2312"/>
          <w:sz w:val="32"/>
          <w:szCs w:val="32"/>
          <w:lang w:val="en-US" w:eastAsia="zh-CN"/>
        </w:rPr>
        <w:t>2.25</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年减少（增加）</w:t>
      </w:r>
      <w:r>
        <w:rPr>
          <w:rFonts w:hint="eastAsia" w:ascii="仿宋_GB2312" w:eastAsia="仿宋_GB2312"/>
          <w:sz w:val="32"/>
          <w:szCs w:val="32"/>
          <w:lang w:eastAsia="zh-CN"/>
        </w:rPr>
        <w:t>0</w:t>
      </w:r>
      <w:r>
        <w:rPr>
          <w:rFonts w:hint="eastAsia" w:ascii="仿宋_GB2312" w:eastAsia="仿宋_GB2312"/>
          <w:sz w:val="32"/>
          <w:szCs w:val="32"/>
        </w:rPr>
        <w:t>万元，下降（增长）</w:t>
      </w:r>
      <w:r>
        <w:rPr>
          <w:rFonts w:hint="eastAsia" w:ascii="仿宋_GB2312" w:eastAsia="仿宋_GB2312"/>
          <w:sz w:val="32"/>
          <w:szCs w:val="32"/>
          <w:lang w:eastAsia="zh-CN"/>
        </w:rPr>
        <w:t>0</w:t>
      </w:r>
      <w:r>
        <w:rPr>
          <w:rFonts w:hint="eastAsia" w:ascii="仿宋_GB2312" w:eastAsia="仿宋_GB2312"/>
          <w:sz w:val="32"/>
          <w:szCs w:val="32"/>
        </w:rPr>
        <w:t>%。主要原因是</w:t>
      </w:r>
      <w:r>
        <w:rPr>
          <w:rFonts w:hint="eastAsia" w:ascii="仿宋_GB2312" w:eastAsia="仿宋_GB2312"/>
          <w:sz w:val="32"/>
          <w:szCs w:val="32"/>
          <w:lang w:val="en-US" w:eastAsia="zh-CN"/>
        </w:rPr>
        <w:t>公务车运行费无增减变化</w:t>
      </w:r>
      <w:r>
        <w:rPr>
          <w:rFonts w:hint="eastAsia" w:ascii="仿宋_GB2312" w:eastAsia="仿宋_GB2312"/>
          <w:sz w:val="32"/>
          <w:szCs w:val="32"/>
        </w:rPr>
        <w:t>。</w:t>
      </w:r>
    </w:p>
    <w:p>
      <w:pPr>
        <w:pStyle w:val="2"/>
      </w:pPr>
    </w:p>
    <w:p/>
    <w:p>
      <w:pPr>
        <w:pStyle w:val="2"/>
      </w:pPr>
    </w:p>
    <w:tbl>
      <w:tblPr>
        <w:tblStyle w:val="6"/>
        <w:tblW w:w="8835" w:type="dxa"/>
        <w:tblInd w:w="93" w:type="dxa"/>
        <w:tblLayout w:type="fixed"/>
        <w:tblCellMar>
          <w:top w:w="15" w:type="dxa"/>
          <w:left w:w="108" w:type="dxa"/>
          <w:bottom w:w="15" w:type="dxa"/>
          <w:right w:w="108" w:type="dxa"/>
        </w:tblCellMar>
      </w:tblPr>
      <w:tblGrid>
        <w:gridCol w:w="3423"/>
        <w:gridCol w:w="2026"/>
        <w:gridCol w:w="803"/>
        <w:gridCol w:w="2583"/>
      </w:tblGrid>
      <w:tr>
        <w:tblPrEx>
          <w:tblCellMar>
            <w:top w:w="15" w:type="dxa"/>
            <w:left w:w="108" w:type="dxa"/>
            <w:bottom w:w="15" w:type="dxa"/>
            <w:right w:w="108" w:type="dxa"/>
          </w:tblCellMar>
        </w:tblPrEx>
        <w:trPr>
          <w:trHeight w:val="570" w:hRule="atLeast"/>
        </w:trPr>
        <w:tc>
          <w:tcPr>
            <w:tcW w:w="8835" w:type="dxa"/>
            <w:gridSpan w:val="4"/>
            <w:vAlign w:val="center"/>
          </w:tcPr>
          <w:p>
            <w:pPr>
              <w:widowControl/>
              <w:spacing w:line="560" w:lineRule="exact"/>
              <w:jc w:val="center"/>
              <w:rPr>
                <w:rFonts w:ascii="宋体" w:hAnsi="宋体" w:cs="宋体"/>
                <w:b/>
                <w:bCs/>
                <w:color w:val="000000"/>
                <w:kern w:val="0"/>
                <w:sz w:val="30"/>
                <w:szCs w:val="30"/>
              </w:rPr>
            </w:pPr>
            <w:r>
              <w:rPr>
                <w:rFonts w:hint="eastAsia" w:ascii="宋体" w:hAnsi="宋体" w:cs="宋体"/>
                <w:b/>
                <w:bCs/>
                <w:color w:val="000000"/>
                <w:kern w:val="0"/>
                <w:sz w:val="30"/>
                <w:szCs w:val="30"/>
                <w:lang w:eastAsia="zh-CN"/>
              </w:rPr>
              <w:t>财政拨款</w:t>
            </w:r>
            <w:r>
              <w:rPr>
                <w:rFonts w:hint="eastAsia" w:ascii="宋体" w:hAnsi="宋体" w:cs="宋体"/>
                <w:b/>
                <w:bCs/>
                <w:color w:val="000000"/>
                <w:kern w:val="0"/>
                <w:sz w:val="30"/>
                <w:szCs w:val="30"/>
              </w:rPr>
              <w:t>预算“三公”经费支出表</w:t>
            </w:r>
          </w:p>
        </w:tc>
      </w:tr>
      <w:tr>
        <w:tblPrEx>
          <w:tblCellMar>
            <w:top w:w="15" w:type="dxa"/>
            <w:left w:w="108" w:type="dxa"/>
            <w:bottom w:w="15" w:type="dxa"/>
            <w:right w:w="108" w:type="dxa"/>
          </w:tblCellMar>
        </w:tblPrEx>
        <w:trPr>
          <w:trHeight w:val="480" w:hRule="atLeast"/>
        </w:trPr>
        <w:tc>
          <w:tcPr>
            <w:tcW w:w="3423" w:type="dxa"/>
            <w:vAlign w:val="center"/>
          </w:tcPr>
          <w:p>
            <w:pPr>
              <w:widowControl/>
              <w:spacing w:line="560" w:lineRule="exact"/>
              <w:jc w:val="left"/>
              <w:rPr>
                <w:rFonts w:ascii="宋体" w:hAnsi="宋体" w:cs="宋体"/>
                <w:color w:val="000000"/>
                <w:kern w:val="0"/>
                <w:sz w:val="24"/>
              </w:rPr>
            </w:pPr>
          </w:p>
        </w:tc>
        <w:tc>
          <w:tcPr>
            <w:tcW w:w="2026" w:type="dxa"/>
            <w:vAlign w:val="center"/>
          </w:tcPr>
          <w:p>
            <w:pPr>
              <w:widowControl/>
              <w:spacing w:line="560" w:lineRule="exact"/>
              <w:jc w:val="left"/>
              <w:rPr>
                <w:rFonts w:ascii="宋体" w:hAnsi="宋体" w:cs="宋体"/>
                <w:color w:val="000000"/>
                <w:kern w:val="0"/>
                <w:sz w:val="24"/>
              </w:rPr>
            </w:pPr>
          </w:p>
        </w:tc>
        <w:tc>
          <w:tcPr>
            <w:tcW w:w="3386" w:type="dxa"/>
            <w:gridSpan w:val="2"/>
            <w:vAlign w:val="center"/>
          </w:tcPr>
          <w:p>
            <w:pPr>
              <w:widowControl/>
              <w:spacing w:line="560" w:lineRule="exact"/>
              <w:jc w:val="right"/>
              <w:rPr>
                <w:rFonts w:ascii="宋体" w:hAnsi="宋体" w:cs="宋体"/>
                <w:color w:val="000000"/>
                <w:kern w:val="0"/>
                <w:sz w:val="24"/>
              </w:rPr>
            </w:pPr>
            <w:r>
              <w:rPr>
                <w:rFonts w:hint="eastAsia" w:ascii="宋体" w:hAnsi="宋体" w:cs="宋体"/>
                <w:color w:val="000000"/>
                <w:kern w:val="0"/>
                <w:sz w:val="24"/>
              </w:rPr>
              <w:t>单位：万元</w:t>
            </w:r>
          </w:p>
        </w:tc>
      </w:tr>
      <w:tr>
        <w:tblPrEx>
          <w:tblCellMar>
            <w:top w:w="15" w:type="dxa"/>
            <w:left w:w="108" w:type="dxa"/>
            <w:bottom w:w="15" w:type="dxa"/>
            <w:right w:w="108" w:type="dxa"/>
          </w:tblCellMar>
        </w:tblPrEx>
        <w:trPr>
          <w:trHeight w:val="420" w:hRule="atLeast"/>
        </w:trPr>
        <w:tc>
          <w:tcPr>
            <w:tcW w:w="34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项目</w:t>
            </w:r>
          </w:p>
        </w:tc>
        <w:tc>
          <w:tcPr>
            <w:tcW w:w="541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金额</w:t>
            </w:r>
          </w:p>
        </w:tc>
      </w:tr>
      <w:tr>
        <w:tblPrEx>
          <w:tblCellMar>
            <w:top w:w="15" w:type="dxa"/>
            <w:left w:w="108" w:type="dxa"/>
            <w:bottom w:w="15" w:type="dxa"/>
            <w:right w:w="108" w:type="dxa"/>
          </w:tblCellMar>
        </w:tblPrEx>
        <w:trPr>
          <w:trHeight w:val="420" w:hRule="atLeast"/>
        </w:trPr>
        <w:tc>
          <w:tcPr>
            <w:tcW w:w="342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b/>
                <w:bCs/>
                <w:color w:val="000000"/>
                <w:kern w:val="0"/>
                <w:sz w:val="24"/>
              </w:rPr>
            </w:pP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lang w:val="en-US" w:eastAsia="zh-CN"/>
              </w:rPr>
              <w:t>2025</w:t>
            </w:r>
            <w:r>
              <w:rPr>
                <w:rFonts w:hint="eastAsia" w:ascii="宋体" w:hAnsi="宋体" w:cs="宋体"/>
                <w:b/>
                <w:bCs/>
                <w:color w:val="000000"/>
                <w:kern w:val="0"/>
                <w:sz w:val="24"/>
              </w:rPr>
              <w:t>年</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lang w:val="en-US" w:eastAsia="zh-CN"/>
              </w:rPr>
              <w:t>2026</w:t>
            </w:r>
            <w:r>
              <w:rPr>
                <w:rFonts w:hint="eastAsia" w:ascii="宋体" w:hAnsi="宋体" w:cs="宋体"/>
                <w:b/>
                <w:bCs/>
                <w:color w:val="000000"/>
                <w:kern w:val="0"/>
                <w:sz w:val="24"/>
              </w:rPr>
              <w:t>年</w:t>
            </w: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合计</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1.因公出国（境）费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2.公务接待费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3.公务用车购置及运行费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 xml:space="preserve"> 其中：公务用车购置费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p>
        </w:tc>
      </w:tr>
      <w:tr>
        <w:tblPrEx>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 xml:space="preserve">       公务用车运行费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2.25</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2.25</w:t>
            </w:r>
          </w:p>
        </w:tc>
      </w:tr>
    </w:tbl>
    <w:p>
      <w:pPr>
        <w:spacing w:line="560" w:lineRule="exact"/>
        <w:ind w:firstLine="646" w:firstLineChars="200"/>
        <w:rPr>
          <w:rFonts w:ascii="仿宋_GB2312" w:hAnsi="宋体" w:eastAsia="仿宋_GB2312"/>
          <w:sz w:val="32"/>
          <w:szCs w:val="32"/>
        </w:rPr>
      </w:pPr>
      <w:r>
        <w:rPr>
          <w:rFonts w:hint="eastAsia" w:ascii="黑体" w:hAnsi="黑体" w:eastAsia="黑体"/>
          <w:sz w:val="32"/>
          <w:szCs w:val="32"/>
        </w:rPr>
        <w:t>六、国有资产占用情况</w:t>
      </w:r>
    </w:p>
    <w:p>
      <w:pPr>
        <w:spacing w:line="560" w:lineRule="exact"/>
        <w:ind w:firstLine="646" w:firstLineChars="200"/>
        <w:rPr>
          <w:rFonts w:ascii="仿宋_GB2312" w:hAnsi="宋体" w:eastAsia="仿宋_GB2312"/>
          <w:sz w:val="32"/>
          <w:szCs w:val="32"/>
        </w:rPr>
      </w:pPr>
      <w:r>
        <w:rPr>
          <w:rFonts w:hint="eastAsia" w:ascii="仿宋_GB2312" w:hAnsi="宋体" w:eastAsia="仿宋_GB2312"/>
          <w:sz w:val="32"/>
          <w:szCs w:val="32"/>
          <w:lang w:eastAsia="zh-CN"/>
        </w:rPr>
        <w:t>营口市科学技术协会</w:t>
      </w:r>
      <w:r>
        <w:rPr>
          <w:rFonts w:hint="eastAsia" w:ascii="仿宋_GB2312" w:hAnsi="宋体" w:eastAsia="仿宋_GB2312"/>
          <w:sz w:val="32"/>
          <w:szCs w:val="32"/>
          <w:lang w:val="en-US" w:eastAsia="zh-CN"/>
        </w:rPr>
        <w:t>2026</w:t>
      </w:r>
      <w:r>
        <w:rPr>
          <w:rFonts w:hint="eastAsia" w:ascii="仿宋_GB2312" w:hAnsi="宋体" w:eastAsia="仿宋_GB2312"/>
          <w:sz w:val="32"/>
          <w:szCs w:val="32"/>
        </w:rPr>
        <w:t>年年初预算购置车辆</w:t>
      </w:r>
      <w:r>
        <w:rPr>
          <w:rFonts w:hint="eastAsia" w:ascii="仿宋_GB2312" w:hAnsi="宋体" w:eastAsia="仿宋_GB2312"/>
          <w:sz w:val="32"/>
          <w:szCs w:val="32"/>
          <w:lang w:eastAsia="zh-CN"/>
        </w:rPr>
        <w:t>0</w:t>
      </w:r>
      <w:r>
        <w:rPr>
          <w:rFonts w:hint="eastAsia" w:ascii="仿宋_GB2312" w:hAnsi="宋体" w:eastAsia="仿宋_GB2312"/>
          <w:sz w:val="32"/>
          <w:szCs w:val="32"/>
        </w:rPr>
        <w:t>台，金额</w:t>
      </w:r>
      <w:r>
        <w:rPr>
          <w:rFonts w:hint="eastAsia" w:ascii="仿宋_GB2312" w:hAnsi="宋体" w:eastAsia="仿宋_GB2312"/>
          <w:sz w:val="32"/>
          <w:szCs w:val="32"/>
          <w:lang w:eastAsia="zh-CN"/>
        </w:rPr>
        <w:t>0</w:t>
      </w:r>
      <w:r>
        <w:rPr>
          <w:rFonts w:hint="eastAsia" w:ascii="仿宋_GB2312" w:hAnsi="宋体" w:eastAsia="仿宋_GB2312"/>
          <w:sz w:val="32"/>
          <w:szCs w:val="32"/>
        </w:rPr>
        <w:t>万元，单位价值50万元以上的通用设备</w:t>
      </w:r>
      <w:r>
        <w:rPr>
          <w:rFonts w:hint="eastAsia" w:ascii="仿宋_GB2312" w:hAnsi="宋体" w:eastAsia="仿宋_GB2312"/>
          <w:sz w:val="32"/>
          <w:szCs w:val="32"/>
          <w:lang w:eastAsia="zh-CN"/>
        </w:rPr>
        <w:t>0</w:t>
      </w:r>
      <w:r>
        <w:rPr>
          <w:rFonts w:hint="eastAsia" w:ascii="仿宋_GB2312" w:hAnsi="宋体" w:eastAsia="仿宋_GB2312"/>
          <w:sz w:val="32"/>
          <w:szCs w:val="32"/>
        </w:rPr>
        <w:t>台，单位价值100万元以上的专用设备</w:t>
      </w:r>
      <w:r>
        <w:rPr>
          <w:rFonts w:hint="eastAsia" w:ascii="仿宋_GB2312" w:hAnsi="宋体" w:eastAsia="仿宋_GB2312"/>
          <w:sz w:val="32"/>
          <w:szCs w:val="32"/>
          <w:lang w:eastAsia="zh-CN"/>
        </w:rPr>
        <w:t>0</w:t>
      </w:r>
      <w:r>
        <w:rPr>
          <w:rFonts w:hint="eastAsia" w:ascii="仿宋_GB2312" w:hAnsi="宋体" w:eastAsia="仿宋_GB2312"/>
          <w:sz w:val="32"/>
          <w:szCs w:val="32"/>
        </w:rPr>
        <w:t>台。</w:t>
      </w:r>
    </w:p>
    <w:p>
      <w:pPr>
        <w:spacing w:line="560" w:lineRule="exact"/>
        <w:ind w:firstLine="646" w:firstLineChars="200"/>
        <w:rPr>
          <w:rFonts w:ascii="黑体" w:hAnsi="黑体" w:eastAsia="黑体"/>
          <w:sz w:val="32"/>
          <w:szCs w:val="32"/>
        </w:rPr>
      </w:pPr>
      <w:r>
        <w:rPr>
          <w:rFonts w:hint="eastAsia" w:ascii="黑体" w:hAnsi="黑体" w:eastAsia="黑体"/>
          <w:sz w:val="32"/>
          <w:szCs w:val="32"/>
        </w:rPr>
        <w:t>七、预算绩效目标情况</w:t>
      </w:r>
    </w:p>
    <w:p>
      <w:pPr>
        <w:spacing w:line="560" w:lineRule="exact"/>
        <w:ind w:firstLine="632" w:firstLineChars="196"/>
        <w:rPr>
          <w:rFonts w:hint="eastAsia" w:ascii="宋体" w:hAnsi="宋体"/>
          <w:b/>
          <w:sz w:val="36"/>
          <w:szCs w:val="36"/>
        </w:rPr>
      </w:pPr>
      <w:r>
        <w:rPr>
          <w:rFonts w:hint="eastAsia" w:ascii="仿宋_GB2312" w:hAnsi="宋体" w:eastAsia="仿宋_GB2312"/>
          <w:sz w:val="32"/>
          <w:szCs w:val="32"/>
        </w:rPr>
        <w:t>根据预算绩效管理要求，</w:t>
      </w:r>
      <w:r>
        <w:rPr>
          <w:rFonts w:hint="eastAsia" w:ascii="仿宋_GB2312" w:hAnsi="宋体" w:eastAsia="仿宋_GB2312"/>
          <w:sz w:val="32"/>
          <w:szCs w:val="32"/>
          <w:lang w:eastAsia="zh-CN"/>
        </w:rPr>
        <w:t>营口市科学技术协会</w:t>
      </w:r>
      <w:r>
        <w:rPr>
          <w:rFonts w:hint="eastAsia" w:ascii="仿宋_GB2312" w:hAnsi="宋体" w:eastAsia="仿宋_GB2312"/>
          <w:sz w:val="32"/>
          <w:szCs w:val="32"/>
          <w:lang w:val="en-US" w:eastAsia="zh-CN"/>
        </w:rPr>
        <w:t>2026</w:t>
      </w:r>
      <w:r>
        <w:rPr>
          <w:rFonts w:hint="eastAsia" w:ascii="仿宋_GB2312" w:hAnsi="宋体" w:eastAsia="仿宋_GB2312"/>
          <w:sz w:val="32"/>
          <w:szCs w:val="32"/>
        </w:rPr>
        <w:t>年应编制部门（单位）整体绩效目标共</w:t>
      </w:r>
      <w:r>
        <w:rPr>
          <w:rFonts w:hint="eastAsia" w:ascii="仿宋_GB2312" w:hAnsi="宋体" w:eastAsia="仿宋_GB2312"/>
          <w:sz w:val="32"/>
          <w:szCs w:val="32"/>
          <w:lang w:val="en-US" w:eastAsia="zh-CN"/>
        </w:rPr>
        <w:t>7</w:t>
      </w:r>
      <w:r>
        <w:rPr>
          <w:rFonts w:hint="eastAsia" w:ascii="仿宋_GB2312" w:hAnsi="宋体" w:eastAsia="仿宋_GB2312"/>
          <w:sz w:val="32"/>
          <w:szCs w:val="32"/>
        </w:rPr>
        <w:t>个，实际编制部门（单位）整体绩效目标共</w:t>
      </w:r>
      <w:r>
        <w:rPr>
          <w:rFonts w:hint="eastAsia" w:ascii="仿宋_GB2312" w:hAnsi="宋体" w:eastAsia="仿宋_GB2312"/>
          <w:sz w:val="32"/>
          <w:szCs w:val="32"/>
          <w:lang w:val="en-US" w:eastAsia="zh-CN"/>
        </w:rPr>
        <w:t>7</w:t>
      </w:r>
      <w:r>
        <w:rPr>
          <w:rFonts w:hint="eastAsia" w:ascii="仿宋_GB2312" w:hAnsi="宋体" w:eastAsia="仿宋_GB2312"/>
          <w:sz w:val="32"/>
          <w:szCs w:val="32"/>
        </w:rPr>
        <w:t>个，编制部门（单位）整体绩效目标覆盖率（实际编制绩效目标的</w:t>
      </w:r>
      <w:r>
        <w:rPr>
          <w:rFonts w:hint="eastAsia" w:ascii="仿宋_GB2312" w:hAnsi="宋体" w:eastAsia="仿宋_GB2312"/>
          <w:color w:val="auto"/>
          <w:sz w:val="32"/>
          <w:szCs w:val="32"/>
          <w:highlight w:val="none"/>
        </w:rPr>
        <w:t>数量/应编制绩效目标的数量）为</w:t>
      </w:r>
      <w:r>
        <w:rPr>
          <w:rFonts w:hint="eastAsia" w:ascii="仿宋_GB2312" w:hAnsi="宋体" w:eastAsia="仿宋_GB2312"/>
          <w:color w:val="auto"/>
          <w:sz w:val="32"/>
          <w:szCs w:val="32"/>
          <w:highlight w:val="none"/>
          <w:lang w:val="en-US" w:eastAsia="zh-CN"/>
        </w:rPr>
        <w:t>10</w:t>
      </w:r>
      <w:r>
        <w:rPr>
          <w:rFonts w:hint="eastAsia" w:ascii="仿宋_GB2312" w:hAnsi="宋体" w:eastAsia="仿宋_GB2312"/>
          <w:color w:val="auto"/>
          <w:sz w:val="32"/>
          <w:szCs w:val="32"/>
          <w:highlight w:val="none"/>
          <w:lang w:eastAsia="zh-CN"/>
        </w:rPr>
        <w:t>0</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2025</w:t>
      </w:r>
      <w:r>
        <w:rPr>
          <w:rFonts w:hint="eastAsia" w:ascii="仿宋_GB2312" w:hAnsi="宋体" w:eastAsia="仿宋_GB2312"/>
          <w:color w:val="auto"/>
          <w:sz w:val="32"/>
          <w:szCs w:val="32"/>
          <w:highlight w:val="none"/>
        </w:rPr>
        <w:t>年应编制绩效目标的</w:t>
      </w:r>
      <w:r>
        <w:rPr>
          <w:rFonts w:hint="eastAsia" w:ascii="仿宋_GB2312" w:hAnsi="宋体" w:eastAsia="仿宋_GB2312"/>
          <w:strike w:val="0"/>
          <w:dstrike w:val="0"/>
          <w:color w:val="auto"/>
          <w:sz w:val="32"/>
          <w:szCs w:val="32"/>
          <w:highlight w:val="none"/>
        </w:rPr>
        <w:t>特定目标类</w:t>
      </w:r>
      <w:r>
        <w:rPr>
          <w:rFonts w:hint="eastAsia" w:ascii="仿宋_GB2312" w:hAnsi="宋体" w:eastAsia="仿宋_GB2312"/>
          <w:strike w:val="0"/>
          <w:dstrike w:val="0"/>
          <w:color w:val="auto"/>
          <w:sz w:val="32"/>
          <w:szCs w:val="32"/>
          <w:highlight w:val="none"/>
          <w:lang w:eastAsia="zh-CN"/>
        </w:rPr>
        <w:t>和其他运转类</w:t>
      </w:r>
      <w:r>
        <w:rPr>
          <w:rFonts w:hint="eastAsia" w:ascii="仿宋_GB2312" w:hAnsi="宋体" w:eastAsia="仿宋_GB2312"/>
          <w:color w:val="auto"/>
          <w:sz w:val="32"/>
          <w:szCs w:val="32"/>
          <w:highlight w:val="none"/>
        </w:rPr>
        <w:t>项目共</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个，实际编制绩效目标的</w:t>
      </w:r>
      <w:r>
        <w:rPr>
          <w:rFonts w:hint="eastAsia" w:ascii="仿宋_GB2312" w:hAnsi="宋体" w:eastAsia="仿宋_GB2312"/>
          <w:strike w:val="0"/>
          <w:dstrike w:val="0"/>
          <w:color w:val="auto"/>
          <w:sz w:val="32"/>
          <w:szCs w:val="32"/>
          <w:highlight w:val="none"/>
        </w:rPr>
        <w:t>特定目标类</w:t>
      </w:r>
      <w:r>
        <w:rPr>
          <w:rFonts w:hint="eastAsia" w:ascii="仿宋_GB2312" w:hAnsi="宋体" w:eastAsia="仿宋_GB2312"/>
          <w:strike w:val="0"/>
          <w:dstrike w:val="0"/>
          <w:color w:val="auto"/>
          <w:sz w:val="32"/>
          <w:szCs w:val="32"/>
          <w:highlight w:val="none"/>
          <w:lang w:eastAsia="zh-CN"/>
        </w:rPr>
        <w:t>和其他运转类</w:t>
      </w:r>
      <w:r>
        <w:rPr>
          <w:rFonts w:hint="eastAsia" w:ascii="仿宋_GB2312" w:hAnsi="宋体" w:eastAsia="仿宋_GB2312"/>
          <w:color w:val="auto"/>
          <w:sz w:val="32"/>
          <w:szCs w:val="32"/>
          <w:highlight w:val="none"/>
        </w:rPr>
        <w:t>项目共</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个，涉及资金</w:t>
      </w:r>
      <w:r>
        <w:rPr>
          <w:rFonts w:hint="eastAsia" w:ascii="仿宋_GB2312" w:hAnsi="宋体" w:eastAsia="仿宋_GB2312"/>
          <w:color w:val="auto"/>
          <w:sz w:val="32"/>
          <w:szCs w:val="32"/>
          <w:highlight w:val="none"/>
          <w:lang w:val="en-US" w:eastAsia="zh-CN"/>
        </w:rPr>
        <w:t>71.05</w:t>
      </w:r>
      <w:r>
        <w:rPr>
          <w:rFonts w:hint="eastAsia" w:ascii="仿宋_GB2312" w:hAnsi="宋体" w:eastAsia="仿宋_GB2312"/>
          <w:color w:val="auto"/>
          <w:sz w:val="32"/>
          <w:szCs w:val="32"/>
          <w:highlight w:val="none"/>
        </w:rPr>
        <w:t>万元，编制</w:t>
      </w:r>
      <w:r>
        <w:rPr>
          <w:rFonts w:hint="eastAsia" w:ascii="仿宋_GB2312" w:hAnsi="宋体" w:eastAsia="仿宋_GB2312"/>
          <w:strike w:val="0"/>
          <w:dstrike w:val="0"/>
          <w:color w:val="auto"/>
          <w:sz w:val="32"/>
          <w:szCs w:val="32"/>
          <w:highlight w:val="none"/>
        </w:rPr>
        <w:t>特定目标类</w:t>
      </w:r>
      <w:r>
        <w:rPr>
          <w:rFonts w:hint="eastAsia" w:ascii="仿宋_GB2312" w:hAnsi="宋体" w:eastAsia="仿宋_GB2312"/>
          <w:strike w:val="0"/>
          <w:dstrike w:val="0"/>
          <w:color w:val="auto"/>
          <w:sz w:val="32"/>
          <w:szCs w:val="32"/>
          <w:highlight w:val="none"/>
          <w:lang w:eastAsia="zh-CN"/>
        </w:rPr>
        <w:t>和其他运转类</w:t>
      </w:r>
      <w:r>
        <w:rPr>
          <w:rFonts w:hint="eastAsia" w:ascii="仿宋_GB2312" w:hAnsi="宋体" w:eastAsia="仿宋_GB2312"/>
          <w:color w:val="auto"/>
          <w:sz w:val="32"/>
          <w:szCs w:val="32"/>
          <w:highlight w:val="none"/>
        </w:rPr>
        <w:t>绩效目标的项目覆盖率（实际编制绩效目标的数量/应编制绩效目标的数量）为</w:t>
      </w:r>
      <w:r>
        <w:rPr>
          <w:rFonts w:hint="eastAsia" w:ascii="仿宋_GB2312" w:hAnsi="宋体" w:eastAsia="仿宋_GB2312"/>
          <w:color w:val="auto"/>
          <w:sz w:val="32"/>
          <w:szCs w:val="32"/>
          <w:highlight w:val="none"/>
          <w:lang w:val="en-US" w:eastAsia="zh-CN"/>
        </w:rPr>
        <w:t>10</w:t>
      </w:r>
      <w:r>
        <w:rPr>
          <w:rFonts w:hint="eastAsia" w:ascii="仿宋_GB2312" w:hAnsi="宋体" w:eastAsia="仿宋_GB2312"/>
          <w:color w:val="auto"/>
          <w:sz w:val="32"/>
          <w:szCs w:val="32"/>
          <w:highlight w:val="none"/>
          <w:lang w:eastAsia="zh-CN"/>
        </w:rPr>
        <w:t>0</w:t>
      </w:r>
      <w:r>
        <w:rPr>
          <w:rFonts w:hint="eastAsia" w:ascii="仿宋_GB2312" w:hAnsi="宋体" w:eastAsia="仿宋_GB2312"/>
          <w:color w:val="auto"/>
          <w:sz w:val="32"/>
          <w:szCs w:val="32"/>
          <w:highlight w:val="none"/>
        </w:rPr>
        <w:t>%。</w:t>
      </w:r>
    </w:p>
    <w:p>
      <w:pPr>
        <w:spacing w:line="560" w:lineRule="exact"/>
        <w:jc w:val="center"/>
        <w:rPr>
          <w:rFonts w:ascii="宋体" w:hAnsi="宋体"/>
          <w:b/>
          <w:sz w:val="36"/>
          <w:szCs w:val="36"/>
        </w:rPr>
      </w:pPr>
      <w:r>
        <w:rPr>
          <w:rFonts w:hint="eastAsia" w:ascii="宋体" w:hAnsi="宋体"/>
          <w:b/>
          <w:sz w:val="36"/>
          <w:szCs w:val="36"/>
        </w:rPr>
        <w:t>第四部分 名词解释</w:t>
      </w:r>
    </w:p>
    <w:p>
      <w:pPr>
        <w:spacing w:line="560" w:lineRule="exact"/>
        <w:jc w:val="center"/>
        <w:rPr>
          <w:rFonts w:ascii="仿宋_GB2312" w:eastAsia="仿宋_GB2312"/>
          <w:sz w:val="32"/>
          <w:szCs w:val="32"/>
        </w:rPr>
      </w:pPr>
    </w:p>
    <w:p>
      <w:pPr>
        <w:spacing w:line="560" w:lineRule="exact"/>
        <w:ind w:firstLine="646" w:firstLineChars="200"/>
        <w:jc w:val="left"/>
        <w:rPr>
          <w:rFonts w:ascii="仿宋_GB2312" w:hAnsi="仿宋_GB2312" w:eastAsia="仿宋_GB2312" w:cs="仿宋_GB2312"/>
          <w:sz w:val="32"/>
          <w:szCs w:val="32"/>
        </w:rPr>
      </w:pPr>
      <w:r>
        <w:rPr>
          <w:rFonts w:hint="eastAsia" w:ascii="仿宋_GB2312" w:eastAsia="仿宋_GB2312"/>
          <w:b/>
          <w:sz w:val="32"/>
          <w:szCs w:val="32"/>
        </w:rPr>
        <w:t>1.一般公共预算：</w:t>
      </w:r>
      <w:r>
        <w:rPr>
          <w:rFonts w:hint="eastAsia" w:ascii="仿宋_GB2312" w:hAnsi="仿宋_GB2312" w:eastAsia="仿宋_GB2312" w:cs="仿宋_GB2312"/>
          <w:sz w:val="32"/>
          <w:szCs w:val="32"/>
        </w:rPr>
        <w:t>是对以税收为主体的财政收入，安排用于保障和改善民生、推动经济社会发展、维护国家安全、维持国家机构正常运转等方面的收支预算。</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2.基本支出：</w:t>
      </w:r>
      <w:r>
        <w:rPr>
          <w:rFonts w:hint="eastAsia" w:ascii="仿宋_GB2312" w:eastAsia="仿宋_GB2312"/>
          <w:sz w:val="32"/>
          <w:szCs w:val="32"/>
        </w:rPr>
        <w:t>是为保障机构正常运转、完成日常工作任务而发生的支出，包括人员经费和公用经费。</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3.项目支出：</w:t>
      </w:r>
      <w:r>
        <w:rPr>
          <w:rFonts w:hint="eastAsia" w:ascii="仿宋_GB2312" w:eastAsia="仿宋_GB2312"/>
          <w:sz w:val="32"/>
          <w:szCs w:val="32"/>
        </w:rPr>
        <w:t>指为完成特定工作任务和事业发展目标所发生的支出。</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4.机关运行经费：</w:t>
      </w:r>
      <w:r>
        <w:rPr>
          <w:rFonts w:hint="eastAsia" w:ascii="仿宋_GB2312" w:eastAsia="仿宋_GB2312"/>
          <w:sz w:val="32"/>
          <w:szCs w:val="32"/>
        </w:rPr>
        <w:t>是指行政机关及参公单位的公用经费，包括办公及印刷费、邮电费、差旅费、会议费、福利费、日常维护费、专用材料及一般设备购置费、办公用房水电费、办公用房取暖费、办公用房物业管理费、办公用车运行维护费以及其他费用。</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5.上年结转：</w:t>
      </w:r>
      <w:r>
        <w:rPr>
          <w:rFonts w:hint="eastAsia" w:ascii="仿宋_GB2312" w:eastAsia="仿宋_GB2312"/>
          <w:sz w:val="32"/>
          <w:szCs w:val="32"/>
        </w:rPr>
        <w:t>指以前年度尚未使用完毕，结转到本年仍按原规定用途继续使用的资金。</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6.“三公”经费：</w:t>
      </w:r>
      <w:r>
        <w:rPr>
          <w:rFonts w:hint="eastAsia" w:ascii="仿宋_GB2312" w:eastAsia="仿宋_GB2312"/>
          <w:sz w:val="32"/>
          <w:szCs w:val="32"/>
        </w:rPr>
        <w:t>指用</w:t>
      </w:r>
      <w:r>
        <w:rPr>
          <w:rFonts w:hint="eastAsia" w:ascii="仿宋_GB2312" w:eastAsia="仿宋_GB2312"/>
          <w:sz w:val="32"/>
          <w:szCs w:val="32"/>
          <w:lang w:eastAsia="zh-CN"/>
        </w:rPr>
        <w:t>财政拨款</w:t>
      </w:r>
      <w:r>
        <w:rPr>
          <w:rFonts w:hint="eastAsia" w:ascii="仿宋_GB2312" w:eastAsia="仿宋_GB2312"/>
          <w:sz w:val="32"/>
          <w:szCs w:val="32"/>
        </w:rPr>
        <w:t>预算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7.一般公共服务支出（类）财政事务（款）行政运行（项）：</w:t>
      </w:r>
      <w:r>
        <w:rPr>
          <w:rFonts w:hint="eastAsia" w:ascii="仿宋_GB2312" w:eastAsia="仿宋_GB2312"/>
          <w:sz w:val="32"/>
          <w:szCs w:val="32"/>
        </w:rPr>
        <w:t>反映行政单位（包括实行公务员管理的事业单位）的基本支出。</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8.一般公共服务支出（类）财政事务（款）一般行政管理事务（项）：</w:t>
      </w:r>
      <w:r>
        <w:rPr>
          <w:rFonts w:hint="eastAsia" w:ascii="仿宋_GB2312" w:eastAsia="仿宋_GB2312"/>
          <w:sz w:val="32"/>
          <w:szCs w:val="32"/>
        </w:rPr>
        <w:t>反映行政单位（包括实行公务员管理的事业单位）未单独设置项级科目的其他项目支出。</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9.一般公共服务支出（类）财政事务（款）事业运行（项）：</w:t>
      </w:r>
      <w:r>
        <w:rPr>
          <w:rFonts w:hint="eastAsia" w:ascii="仿宋_GB2312" w:eastAsia="仿宋_GB2312"/>
          <w:sz w:val="32"/>
          <w:szCs w:val="32"/>
        </w:rPr>
        <w:t>反映事业单位的基本支出，不包括行政单位（包括实行公务员管理的事业单位）后勤服务中心、医务室等附属事业单位。</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10.一般公共服务支出（类）财政事务（款）其他财政事务支出（项）：</w:t>
      </w:r>
      <w:r>
        <w:rPr>
          <w:rFonts w:hint="eastAsia" w:ascii="仿宋_GB2312" w:eastAsia="仿宋_GB2312"/>
          <w:sz w:val="32"/>
          <w:szCs w:val="32"/>
        </w:rPr>
        <w:t>反映除上述项目以外其他财政事务方面的支出。</w:t>
      </w:r>
    </w:p>
    <w:p>
      <w:pPr>
        <w:spacing w:line="560" w:lineRule="exact"/>
        <w:rPr>
          <w:rFonts w:ascii="宋体" w:hAnsi="宋体"/>
          <w:b/>
          <w:sz w:val="36"/>
          <w:szCs w:val="36"/>
        </w:rPr>
      </w:pPr>
    </w:p>
    <w:p>
      <w:pPr>
        <w:spacing w:line="560" w:lineRule="exact"/>
        <w:jc w:val="cente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spacing w:line="560" w:lineRule="exact"/>
        <w:jc w:val="both"/>
        <w:rPr>
          <w:rFonts w:hint="eastAsia" w:ascii="宋体" w:hAnsi="宋体"/>
          <w:b/>
          <w:sz w:val="36"/>
          <w:szCs w:val="36"/>
        </w:rPr>
        <w:sectPr>
          <w:footerReference r:id="rId3" w:type="default"/>
          <w:pgSz w:w="11906" w:h="16838"/>
          <w:pgMar w:top="1440" w:right="1797" w:bottom="1440" w:left="1797" w:header="851" w:footer="992" w:gutter="0"/>
          <w:cols w:space="0" w:num="1"/>
          <w:titlePg/>
          <w:docGrid w:type="linesAndChars" w:linePitch="312" w:charSpace="640"/>
        </w:sectPr>
      </w:pPr>
    </w:p>
    <w:p>
      <w:pPr>
        <w:numPr>
          <w:ilvl w:val="0"/>
          <w:numId w:val="0"/>
        </w:numPr>
        <w:tabs>
          <w:tab w:val="left" w:pos="2343"/>
        </w:tabs>
        <w:spacing w:line="560" w:lineRule="exact"/>
        <w:jc w:val="center"/>
        <w:rPr>
          <w:rFonts w:hint="eastAsia" w:ascii="宋体" w:hAnsi="宋体"/>
          <w:b/>
          <w:sz w:val="36"/>
          <w:szCs w:val="36"/>
        </w:rPr>
      </w:pPr>
    </w:p>
    <w:p>
      <w:pPr>
        <w:numPr>
          <w:ilvl w:val="0"/>
          <w:numId w:val="0"/>
        </w:numPr>
        <w:tabs>
          <w:tab w:val="left" w:pos="2343"/>
        </w:tabs>
        <w:spacing w:line="560" w:lineRule="exact"/>
        <w:jc w:val="center"/>
        <w:rPr>
          <w:rFonts w:hint="eastAsia" w:ascii="宋体" w:hAnsi="宋体"/>
          <w:b/>
          <w:sz w:val="36"/>
          <w:szCs w:val="36"/>
        </w:rPr>
      </w:pPr>
    </w:p>
    <w:p>
      <w:pPr>
        <w:numPr>
          <w:ilvl w:val="0"/>
          <w:numId w:val="0"/>
        </w:numPr>
        <w:tabs>
          <w:tab w:val="left" w:pos="2343"/>
        </w:tabs>
        <w:spacing w:line="560" w:lineRule="exact"/>
        <w:jc w:val="center"/>
        <w:rPr>
          <w:rFonts w:hint="eastAsia" w:ascii="宋体" w:hAnsi="宋体"/>
          <w:b/>
          <w:sz w:val="36"/>
          <w:szCs w:val="36"/>
        </w:rPr>
      </w:pPr>
    </w:p>
    <w:p>
      <w:pPr>
        <w:numPr>
          <w:ilvl w:val="0"/>
          <w:numId w:val="0"/>
        </w:numPr>
        <w:tabs>
          <w:tab w:val="left" w:pos="2343"/>
        </w:tabs>
        <w:spacing w:line="560" w:lineRule="exact"/>
        <w:jc w:val="center"/>
        <w:rPr>
          <w:rFonts w:hint="eastAsia" w:ascii="宋体" w:hAnsi="宋体"/>
          <w:b/>
          <w:sz w:val="36"/>
          <w:szCs w:val="36"/>
        </w:rPr>
      </w:pPr>
    </w:p>
    <w:p>
      <w:pPr>
        <w:pStyle w:val="2"/>
        <w:rPr>
          <w:rFonts w:hint="eastAsia" w:ascii="宋体" w:hAnsi="宋体"/>
          <w:b/>
          <w:sz w:val="36"/>
          <w:szCs w:val="36"/>
        </w:rPr>
      </w:pPr>
    </w:p>
    <w:p>
      <w:pPr>
        <w:rPr>
          <w:rFonts w:hint="eastAsia"/>
        </w:rPr>
      </w:pPr>
    </w:p>
    <w:p>
      <w:pPr>
        <w:numPr>
          <w:ilvl w:val="0"/>
          <w:numId w:val="0"/>
        </w:numPr>
        <w:tabs>
          <w:tab w:val="left" w:pos="2343"/>
        </w:tabs>
        <w:spacing w:line="560" w:lineRule="exact"/>
        <w:jc w:val="center"/>
        <w:rPr>
          <w:rFonts w:hint="eastAsia" w:ascii="宋体" w:hAnsi="宋体"/>
          <w:b/>
          <w:sz w:val="36"/>
          <w:szCs w:val="36"/>
        </w:rPr>
      </w:pPr>
    </w:p>
    <w:p>
      <w:pPr>
        <w:numPr>
          <w:ilvl w:val="0"/>
          <w:numId w:val="0"/>
        </w:numPr>
        <w:tabs>
          <w:tab w:val="left" w:pos="2343"/>
        </w:tabs>
        <w:spacing w:line="560" w:lineRule="exact"/>
        <w:jc w:val="center"/>
        <w:rPr>
          <w:rFonts w:hint="eastAsia" w:ascii="宋体" w:hAnsi="宋体"/>
          <w:b/>
          <w:sz w:val="36"/>
          <w:szCs w:val="36"/>
        </w:rPr>
      </w:pPr>
    </w:p>
    <w:p>
      <w:pPr>
        <w:numPr>
          <w:ilvl w:val="0"/>
          <w:numId w:val="0"/>
        </w:numPr>
        <w:tabs>
          <w:tab w:val="left" w:pos="2343"/>
        </w:tabs>
        <w:spacing w:line="560" w:lineRule="exact"/>
        <w:jc w:val="center"/>
      </w:pPr>
      <w:r>
        <w:rPr>
          <w:rFonts w:hint="eastAsia" w:ascii="宋体" w:hAnsi="宋体"/>
          <w:b/>
          <w:sz w:val="36"/>
          <w:szCs w:val="36"/>
        </w:rPr>
        <w:t>第</w:t>
      </w:r>
      <w:r>
        <w:rPr>
          <w:rFonts w:hint="eastAsia" w:ascii="宋体" w:hAnsi="宋体"/>
          <w:b/>
          <w:sz w:val="36"/>
          <w:szCs w:val="36"/>
          <w:lang w:eastAsia="zh-CN"/>
        </w:rPr>
        <w:t>五</w:t>
      </w:r>
      <w:r>
        <w:rPr>
          <w:rFonts w:hint="eastAsia" w:ascii="宋体" w:hAnsi="宋体"/>
          <w:b/>
          <w:sz w:val="36"/>
          <w:szCs w:val="36"/>
        </w:rPr>
        <w:t>部分</w:t>
      </w:r>
      <w:r>
        <w:rPr>
          <w:rFonts w:hint="eastAsia" w:ascii="宋体" w:hAnsi="宋体"/>
          <w:b/>
          <w:sz w:val="36"/>
          <w:szCs w:val="36"/>
          <w:lang w:val="en-US" w:eastAsia="zh-CN"/>
        </w:rPr>
        <w:t>2026</w:t>
      </w:r>
      <w:r>
        <w:rPr>
          <w:rFonts w:hint="eastAsia" w:ascii="宋体" w:hAnsi="宋体"/>
          <w:b/>
          <w:sz w:val="36"/>
          <w:szCs w:val="36"/>
        </w:rPr>
        <w:t>年</w:t>
      </w:r>
      <w:r>
        <w:rPr>
          <w:rFonts w:hint="eastAsia" w:ascii="宋体" w:hAnsi="宋体"/>
          <w:b/>
          <w:sz w:val="36"/>
          <w:szCs w:val="36"/>
          <w:lang w:eastAsia="zh-CN"/>
        </w:rPr>
        <w:t>营口市科学技术协会</w:t>
      </w:r>
      <w:r>
        <w:rPr>
          <w:rFonts w:hint="eastAsia" w:ascii="宋体" w:hAnsi="宋体"/>
          <w:b/>
          <w:sz w:val="36"/>
          <w:szCs w:val="36"/>
        </w:rPr>
        <w:t>部门预算批复表</w:t>
      </w:r>
    </w:p>
    <w:p>
      <w:pPr>
        <w:pStyle w:val="2"/>
      </w:pPr>
    </w:p>
    <w:p>
      <w:pPr>
        <w:pStyle w:val="2"/>
      </w:pPr>
    </w:p>
    <w:p/>
    <w:p>
      <w:pPr>
        <w:pStyle w:val="2"/>
      </w:pPr>
    </w:p>
    <w:p/>
    <w:p>
      <w:pPr>
        <w:pStyle w:val="2"/>
      </w:pPr>
    </w:p>
    <w:p/>
    <w:p>
      <w:pPr>
        <w:pStyle w:val="2"/>
      </w:pPr>
    </w:p>
    <w:p/>
    <w:p>
      <w:pPr>
        <w:pStyle w:val="2"/>
      </w:pPr>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67"/>
        <w:gridCol w:w="2646"/>
        <w:gridCol w:w="4381"/>
        <w:gridCol w:w="2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124" w:type="dxa"/>
            <w:gridSpan w:val="4"/>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4"/>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FF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表1</w:t>
            </w: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3115" w:type="dxa"/>
            <w:gridSpan w:val="3"/>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收     入 </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预算数</w:t>
            </w: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一、科学技术支出</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二、社会保障和就业支出</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三、卫生健康支出</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四、住房保障支出</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本年收入合计</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本年支出合计</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上年结转结余</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年终结转结余</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   入   总   计</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   出   总   计</w:t>
            </w:r>
          </w:p>
        </w:tc>
        <w:tc>
          <w:tcPr>
            <w:tcW w:w="3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
      <w:pPr>
        <w:pStyle w:val="2"/>
      </w:pPr>
    </w:p>
    <w:p/>
    <w:p>
      <w:pPr>
        <w:pStyle w:val="2"/>
      </w:pPr>
    </w:p>
    <w:p/>
    <w:p>
      <w:pPr>
        <w:pStyle w:val="2"/>
      </w:pPr>
    </w:p>
    <w:p/>
    <w:p>
      <w:pPr>
        <w:pStyle w:val="2"/>
      </w:pPr>
    </w:p>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84"/>
        <w:gridCol w:w="963"/>
        <w:gridCol w:w="1032"/>
        <w:gridCol w:w="3088"/>
        <w:gridCol w:w="790"/>
        <w:gridCol w:w="638"/>
        <w:gridCol w:w="638"/>
        <w:gridCol w:w="638"/>
        <w:gridCol w:w="831"/>
        <w:gridCol w:w="832"/>
        <w:gridCol w:w="790"/>
        <w:gridCol w:w="638"/>
        <w:gridCol w:w="63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759" w:type="dxa"/>
            <w:gridSpan w:val="14"/>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976"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73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73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2400"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表2</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925"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73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283" w:type="dxa"/>
            <w:gridSpan w:val="1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24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单位名称</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总计</w:t>
            </w:r>
          </w:p>
        </w:tc>
        <w:tc>
          <w:tcPr>
            <w:tcW w:w="81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本年收入</w:t>
            </w:r>
          </w:p>
        </w:tc>
        <w:tc>
          <w:tcPr>
            <w:tcW w:w="50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37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一般公共预算</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政府性基金预算</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国有资本经营预算</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财政专户管理资金</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单位资金</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一般公共预算</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政府性基金预算</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国有资本经营预算</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财政专户管理资金</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032001 营口市科学技术协会本级</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308.79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296.07</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296.07</w:t>
            </w: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032002 营口市科学技术馆</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pStyle w:val="2"/>
      </w:pPr>
    </w:p>
    <w:p/>
    <w:p>
      <w:pPr>
        <w:pStyle w:val="2"/>
      </w:pPr>
    </w:p>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00"/>
        <w:gridCol w:w="4705"/>
        <w:gridCol w:w="1642"/>
        <w:gridCol w:w="1600"/>
        <w:gridCol w:w="1531"/>
        <w:gridCol w:w="1531"/>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329" w:type="dxa"/>
            <w:gridSpan w:val="7"/>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表3</w:t>
            </w: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570" w:type="dxa"/>
            <w:gridSpan w:val="6"/>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科目编码</w:t>
            </w:r>
          </w:p>
        </w:tc>
        <w:tc>
          <w:tcPr>
            <w:tcW w:w="548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188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535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548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8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人员经费</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w:t>
            </w:r>
          </w:p>
        </w:tc>
        <w:tc>
          <w:tcPr>
            <w:tcW w:w="17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343.12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323.23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032001</w:t>
            </w:r>
          </w:p>
        </w:tc>
        <w:tc>
          <w:tcPr>
            <w:tcW w:w="5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营口市科学技术协会本级</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308.79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239.51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224.10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科学技术支出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233.87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科学技术管理事务</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206.15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行政运行</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2060199</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其他科学技术管理事务支出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41.56</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科学技术普及</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2060799</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其他科学技术普及支出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47.24</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47.24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46.37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行政事业单位养老支出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行政单位离退休</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2080505</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20808</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抚恤</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2080802</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伤残抚恤</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20899</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其他社会保障和就业支出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2089999</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其他社会保障和就业支出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行政事业单位医疗</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行政单位医疗</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2101103</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住房改革支出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032002</w:t>
            </w:r>
          </w:p>
        </w:tc>
        <w:tc>
          <w:tcPr>
            <w:tcW w:w="5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营口市科学技术馆</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103.61</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99.13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科学技术支出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科学技术普及</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2060705</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科技馆站</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行政事业单位养老支出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2080502</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事业单位离退休</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2080505</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行政事业单位医疗</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2101102</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事业单位医疗</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2101103</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2101199</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其他行政事业单位医疗支出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住房改革支出</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2210201</w:t>
            </w:r>
          </w:p>
        </w:tc>
        <w:tc>
          <w:tcPr>
            <w:tcW w:w="5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1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pStyle w:val="2"/>
      </w:pPr>
    </w:p>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1"/>
        <w:gridCol w:w="2402"/>
        <w:gridCol w:w="4661"/>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269" w:type="dxa"/>
            <w:gridSpan w:val="4"/>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4"/>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表4</w:t>
            </w: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3500" w:type="dxa"/>
            <w:gridSpan w:val="3"/>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预算数</w:t>
            </w: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w:t>
            </w: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一、本年收入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(一)科学技术支出</w:t>
            </w: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(二)社会保障和就业支出</w:t>
            </w: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（三）国有资本经营预算拨款收入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(三)卫生健康支出</w:t>
            </w: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二、上年结转</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(四)住房保障支出</w:t>
            </w: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（三）国有资本经营预算拨款收入</w:t>
            </w:r>
          </w:p>
        </w:tc>
        <w:tc>
          <w:tcPr>
            <w:tcW w:w="2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二、年终结转结余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r>
    </w:tbl>
    <w:p>
      <w:pPr>
        <w:pStyle w:val="2"/>
      </w:pPr>
    </w:p>
    <w:p/>
    <w:p>
      <w:pPr>
        <w:pStyle w:val="2"/>
      </w:pPr>
    </w:p>
    <w:p/>
    <w:p>
      <w:pPr>
        <w:pStyle w:val="2"/>
      </w:pPr>
    </w:p>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7"/>
        <w:gridCol w:w="5589"/>
        <w:gridCol w:w="1601"/>
        <w:gridCol w:w="1601"/>
        <w:gridCol w:w="1337"/>
        <w:gridCol w:w="1337"/>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314" w:type="dxa"/>
            <w:gridSpan w:val="7"/>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表5</w:t>
            </w: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784" w:type="dxa"/>
            <w:gridSpan w:val="6"/>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科目编码</w:t>
            </w:r>
          </w:p>
        </w:tc>
        <w:tc>
          <w:tcPr>
            <w:tcW w:w="651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827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651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490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651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人员经费</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343.12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323.23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032001</w:t>
            </w:r>
          </w:p>
        </w:tc>
        <w:tc>
          <w:tcPr>
            <w:tcW w:w="6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营口市科学技术协会本级</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239.51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224.10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科学技术支出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221.15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科学技术管理事务</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196.15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行政运行</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164.59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2060199</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其他科学技术管理事务支出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31.56</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科学技术普及</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2060799</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其他科学技术普及支出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47.24</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47.24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46.37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行政单位离退休</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2080505</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20808</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抚恤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2080802</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伤残抚恤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20899</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2089999</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行政单位医疗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2101103</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住房改革支出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032002</w:t>
            </w:r>
          </w:p>
        </w:tc>
        <w:tc>
          <w:tcPr>
            <w:tcW w:w="6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营口市科学技术馆</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103.61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99.13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科学技术支出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科学技术普及</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2060705</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科技馆站</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90.49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2080502</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事业单位离退休</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2080505</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2101102</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事业单位医疗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2101103</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2101199</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住房改革支出</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2210201</w:t>
            </w:r>
          </w:p>
        </w:tc>
        <w:tc>
          <w:tcPr>
            <w:tcW w:w="6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pStyle w:val="2"/>
      </w:pPr>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42"/>
        <w:gridCol w:w="6384"/>
        <w:gridCol w:w="2138"/>
        <w:gridCol w:w="2138"/>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322" w:type="dxa"/>
            <w:gridSpan w:val="5"/>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5"/>
            <w:tcBorders>
              <w:top w:val="nil"/>
              <w:left w:val="nil"/>
              <w:bottom w:val="nil"/>
              <w:right w:val="nil"/>
            </w:tcBorders>
            <w:shd w:val="clear" w:color="FFFFFF" w:fill="FFFFFF"/>
            <w:noWrap/>
            <w:vAlign w:val="top"/>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表6</w:t>
            </w:r>
          </w:p>
        </w:tc>
        <w:tc>
          <w:tcPr>
            <w:tcW w:w="0" w:type="auto"/>
            <w:tcBorders>
              <w:top w:val="nil"/>
              <w:left w:val="nil"/>
              <w:bottom w:val="nil"/>
              <w:right w:val="nil"/>
            </w:tcBorders>
            <w:shd w:val="clear" w:color="FFFFFF" w:fill="FFFFFF"/>
            <w:noWrap/>
            <w:vAlign w:val="top"/>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3863"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部门预算支出经济分类科目</w:t>
            </w:r>
          </w:p>
        </w:tc>
        <w:tc>
          <w:tcPr>
            <w:tcW w:w="73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科目编码</w:t>
            </w:r>
          </w:p>
        </w:tc>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人员经费</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343.12</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323.23</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032001</w:t>
            </w:r>
          </w:p>
        </w:tc>
        <w:tc>
          <w:tcPr>
            <w:tcW w:w="7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营口市科学技术协会本级</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239.51</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224.10</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工资福利支出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基本工资</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66.89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66.89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津贴补贴</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奖金</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38.87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38.87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职工基本医疗保险缴费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商品和服务支出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10.84</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邮电费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取暖费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6.10</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工会经费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公务用车运行维护费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其他交通费用</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10.84</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10.84</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其他商品和服务支出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离休费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退休费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抚恤金</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032002</w:t>
            </w:r>
          </w:p>
        </w:tc>
        <w:tc>
          <w:tcPr>
            <w:tcW w:w="7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营口市科学技术馆</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103.61</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99.13</w:t>
            </w:r>
          </w:p>
        </w:tc>
        <w:tc>
          <w:tcPr>
            <w:tcW w:w="245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工资福利支出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98.88</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98.88</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基本工资</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44.04</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44.04</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津贴补贴</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23.51</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23.51</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绩效工资</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职工基本医疗保险缴费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其他社会保障缴费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商品和服务支出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邮电费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差旅费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工会经费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其他商品和服务支出</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退休费</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2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
      <w:pPr>
        <w:pStyle w:val="2"/>
      </w:pPr>
    </w:p>
    <w:p/>
    <w:p>
      <w:pPr>
        <w:pStyle w:val="2"/>
      </w:pPr>
    </w:p>
    <w:p/>
    <w:p>
      <w:pPr>
        <w:pStyle w:val="2"/>
      </w:pPr>
    </w:p>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05"/>
        <w:gridCol w:w="2805"/>
        <w:gridCol w:w="1706"/>
        <w:gridCol w:w="1706"/>
        <w:gridCol w:w="1706"/>
        <w:gridCol w:w="1706"/>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8466" w:type="dxa"/>
            <w:gridSpan w:val="7"/>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财政拨款预算“三公”经费支出表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表7</w:t>
            </w:r>
          </w:p>
        </w:tc>
        <w:tc>
          <w:tcPr>
            <w:tcW w:w="0" w:type="auto"/>
            <w:tcBorders>
              <w:top w:val="nil"/>
              <w:left w:val="nil"/>
              <w:bottom w:val="nil"/>
              <w:right w:val="nil"/>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2557" w:type="dxa"/>
            <w:gridSpan w:val="5"/>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“三公”经费合计</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因公出国（境）费</w:t>
            </w:r>
          </w:p>
        </w:tc>
        <w:tc>
          <w:tcPr>
            <w:tcW w:w="664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公务用车购置及运行费</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公务用车购置费</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公务用车运行费</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总计</w:t>
            </w:r>
          </w:p>
        </w:tc>
        <w:tc>
          <w:tcPr>
            <w:tcW w:w="3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032001 营口市科学技术协会本级</w:t>
            </w:r>
          </w:p>
        </w:tc>
        <w:tc>
          <w:tcPr>
            <w:tcW w:w="3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032002 营口市科学技术馆</w:t>
            </w:r>
          </w:p>
        </w:tc>
        <w:tc>
          <w:tcPr>
            <w:tcW w:w="3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466" w:type="dxa"/>
            <w:gridSpan w:val="7"/>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备注：如此表为空表，则表示部门无预算“三公”经费安排的支出。</w:t>
            </w:r>
          </w:p>
        </w:tc>
      </w:tr>
    </w:tbl>
    <w:p>
      <w:pPr>
        <w:pStyle w:val="2"/>
      </w:pPr>
    </w:p>
    <w:p/>
    <w:p>
      <w:pPr>
        <w:pStyle w:val="2"/>
      </w:pPr>
    </w:p>
    <w:p/>
    <w:p>
      <w:pPr>
        <w:pStyle w:val="2"/>
      </w:pPr>
    </w:p>
    <w:p/>
    <w:p>
      <w:pPr>
        <w:pStyle w:val="2"/>
      </w:pPr>
    </w:p>
    <w:p/>
    <w:p>
      <w:pPr>
        <w:pStyle w:val="2"/>
      </w:pPr>
    </w:p>
    <w:p/>
    <w:p>
      <w:pPr>
        <w:pStyle w:val="2"/>
      </w:pPr>
    </w:p>
    <w:tbl>
      <w:tblPr>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09"/>
        <w:gridCol w:w="1460"/>
        <w:gridCol w:w="3278"/>
        <w:gridCol w:w="775"/>
        <w:gridCol w:w="775"/>
        <w:gridCol w:w="787"/>
        <w:gridCol w:w="463"/>
        <w:gridCol w:w="575"/>
        <w:gridCol w:w="475"/>
        <w:gridCol w:w="537"/>
        <w:gridCol w:w="784"/>
        <w:gridCol w:w="881"/>
        <w:gridCol w:w="618"/>
        <w:gridCol w:w="518"/>
        <w:gridCol w:w="51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173"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278" w:type="dxa"/>
            <w:tcBorders>
              <w:top w:val="nil"/>
              <w:left w:val="nil"/>
              <w:bottom w:val="nil"/>
              <w:right w:val="nil"/>
            </w:tcBorders>
            <w:shd w:val="clear"/>
            <w:noWrap/>
            <w:vAlign w:val="center"/>
          </w:tcPr>
          <w:p>
            <w:pPr>
              <w:rPr>
                <w:rFonts w:hint="eastAsia" w:ascii="宋体" w:hAnsi="宋体" w:eastAsia="宋体" w:cs="宋体"/>
                <w:i w:val="0"/>
                <w:iCs w:val="0"/>
                <w:color w:val="000000"/>
                <w:sz w:val="21"/>
                <w:szCs w:val="21"/>
                <w:u w:val="none"/>
              </w:rPr>
            </w:pPr>
          </w:p>
        </w:tc>
        <w:tc>
          <w:tcPr>
            <w:tcW w:w="7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3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4" w:type="dxa"/>
            <w:tcBorders>
              <w:top w:val="nil"/>
              <w:left w:val="nil"/>
              <w:bottom w:val="nil"/>
              <w:right w:val="nil"/>
            </w:tcBorders>
            <w:shd w:val="clear" w:color="FFFFFF" w:fill="FFFFFF"/>
            <w:vAlign w:val="top"/>
          </w:tcPr>
          <w:p>
            <w:pPr>
              <w:rPr>
                <w:rFonts w:hint="eastAsia" w:ascii="宋体" w:hAnsi="宋体" w:eastAsia="宋体" w:cs="宋体"/>
                <w:i w:val="0"/>
                <w:iCs w:val="0"/>
                <w:color w:val="000000"/>
                <w:sz w:val="18"/>
                <w:szCs w:val="18"/>
                <w:u w:val="none"/>
              </w:rPr>
            </w:pPr>
          </w:p>
        </w:tc>
        <w:tc>
          <w:tcPr>
            <w:tcW w:w="88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61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51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519"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519" w:type="dxa"/>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表9</w:t>
            </w:r>
          </w:p>
        </w:tc>
        <w:tc>
          <w:tcPr>
            <w:tcW w:w="146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3278" w:type="dxa"/>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7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8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46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47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3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84" w:type="dxa"/>
            <w:tcBorders>
              <w:top w:val="nil"/>
              <w:left w:val="nil"/>
              <w:bottom w:val="nil"/>
              <w:right w:val="nil"/>
            </w:tcBorders>
            <w:shd w:val="clear" w:color="FFFFFF" w:fill="FFFFFF"/>
            <w:vAlign w:val="top"/>
          </w:tcPr>
          <w:p>
            <w:pPr>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FFFFFF" w:fill="FFFFFF"/>
            <w:vAlign w:val="top"/>
          </w:tcPr>
          <w:p>
            <w:pPr>
              <w:rPr>
                <w:rFonts w:hint="eastAsia" w:ascii="宋体" w:hAnsi="宋体" w:eastAsia="宋体" w:cs="宋体"/>
                <w:i w:val="0"/>
                <w:iCs w:val="0"/>
                <w:color w:val="000000"/>
                <w:sz w:val="16"/>
                <w:szCs w:val="16"/>
                <w:u w:val="none"/>
              </w:rPr>
            </w:pPr>
          </w:p>
        </w:tc>
        <w:tc>
          <w:tcPr>
            <w:tcW w:w="618" w:type="dxa"/>
            <w:tcBorders>
              <w:top w:val="nil"/>
              <w:left w:val="nil"/>
              <w:bottom w:val="nil"/>
              <w:right w:val="nil"/>
            </w:tcBorders>
            <w:shd w:val="clear" w:color="FFFFFF" w:fill="FFFFFF"/>
            <w:vAlign w:val="top"/>
          </w:tcPr>
          <w:p>
            <w:pPr>
              <w:rPr>
                <w:rFonts w:hint="eastAsia" w:ascii="宋体" w:hAnsi="宋体" w:eastAsia="宋体" w:cs="宋体"/>
                <w:i w:val="0"/>
                <w:iCs w:val="0"/>
                <w:color w:val="000000"/>
                <w:sz w:val="16"/>
                <w:szCs w:val="16"/>
                <w:u w:val="none"/>
              </w:rPr>
            </w:pPr>
          </w:p>
        </w:tc>
        <w:tc>
          <w:tcPr>
            <w:tcW w:w="51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519"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519" w:type="dxa"/>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118" w:type="dxa"/>
            <w:gridSpan w:val="11"/>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3055" w:type="dxa"/>
            <w:gridSpan w:val="5"/>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单位名称</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项目名称</w:t>
            </w:r>
          </w:p>
        </w:tc>
        <w:tc>
          <w:tcPr>
            <w:tcW w:w="327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项目内容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总计</w:t>
            </w:r>
          </w:p>
        </w:tc>
        <w:tc>
          <w:tcPr>
            <w:tcW w:w="361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本年收入</w:t>
            </w:r>
          </w:p>
        </w:tc>
        <w:tc>
          <w:tcPr>
            <w:tcW w:w="383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327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一般公共预算</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政府性基金预算</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国有资本经营预算</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财政专户管理资金</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单位资金</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一般公共预算</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政府性基金预算</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国有资本经营预算</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财政专户管理资金</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327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83.77</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71.05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71.05</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营口市科学技术协会本级</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69.28</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56.56</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56.56</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水电费</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全年机关所用水费和电费</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3.80</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3.80</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弥补单位办公经费</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伙食费：15元/人*20人*22天*12=79200元</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7.92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7.92</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7.92</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其他办公经费</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为深入贯彻落实中共二十大和习总书记对全国老科协工作的重要批示精神，更好地发挥老科协人员和广大老科技工作者在助企创新，助力乡村振兴，提高全民科学素质及决策咨询等方面的作用，确保老科协工作顺利及进行，现申请2026年老科协开展服务工作所需经费10万元。</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门卫、保洁、其他</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临时工共3人：门卫2人、厨师1人；</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门卫月工资2700元/人、厨师月工资2800元。</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（2700*2+2800）*12= 98400元。</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基层科普行动计划</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基层科普行动计划、辽财指教[2025]737号、营财指教[2025]5070号</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20.00</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20.00</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科普运转经费</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1.省科协《关于开展年度“全国科技工作者日”活动的通知》</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2.市委组织部、市财政局制定《营口市院士工作站、专家工作站、学会服务站、海智工作站和候鸟型人才工作站奖补实施细则》</w:t>
            </w:r>
            <w:r>
              <w:rPr>
                <w:rFonts w:hint="eastAsia" w:ascii="宋体" w:hAnsi="宋体" w:eastAsia="宋体" w:cs="宋体"/>
                <w:i w:val="0"/>
                <w:iCs w:val="0"/>
                <w:color w:val="000000"/>
                <w:kern w:val="0"/>
                <w:sz w:val="16"/>
                <w:szCs w:val="16"/>
                <w:u w:val="none"/>
                <w:bdr w:val="none" w:color="auto" w:sz="0" w:space="0"/>
                <w:lang w:val="en-US" w:eastAsia="zh-CN" w:bidi="ar"/>
              </w:rPr>
              <w:br w:type="textWrapping"/>
            </w:r>
            <w:r>
              <w:rPr>
                <w:rFonts w:hint="eastAsia" w:ascii="宋体" w:hAnsi="宋体" w:eastAsia="宋体" w:cs="宋体"/>
                <w:i w:val="0"/>
                <w:iCs w:val="0"/>
                <w:color w:val="000000"/>
                <w:kern w:val="0"/>
                <w:sz w:val="16"/>
                <w:szCs w:val="16"/>
                <w:u w:val="none"/>
                <w:bdr w:val="none" w:color="auto" w:sz="0" w:space="0"/>
                <w:lang w:val="en-US" w:eastAsia="zh-CN" w:bidi="ar"/>
              </w:rPr>
              <w:t>3.根据市委办、市政府办、《营口市自然科学学科带头人评选管理办法》（营委办发[2006]5号）</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5.00</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5.00</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基层科普行动计划结转营财指教［2024］5050号</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基层科普行动计划、辽财指教[2024]748号、营财指教[2024]5050号</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2.72</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2.72</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创新驱动示范市建设结转营财指教［2025］8号</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创新驱动示范市建设结转营财指教[2025]8号</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营口市科学技术馆</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14.49</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14.49</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14.49</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科技馆劳务派遣</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为了贯彻国家科技强国战略，更好地开展全市公益性科普教育工作，经研究，同意把市文化旅游发展中心派驻科技馆的四名编外工作人员划转至市科技馆管理。</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其他办公经费</w:t>
            </w:r>
          </w:p>
        </w:tc>
        <w:tc>
          <w:tcPr>
            <w:tcW w:w="32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保障科技馆正常工作运转</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3.96</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3.96</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3.96</w:t>
            </w:r>
          </w:p>
        </w:tc>
        <w:tc>
          <w:tcPr>
            <w:tcW w:w="4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p>
      <w:pPr>
        <w:pStyle w:val="2"/>
      </w:pPr>
    </w:p>
    <w:p/>
    <w:p>
      <w:pPr>
        <w:pStyle w:val="2"/>
      </w:pPr>
    </w:p>
    <w:tbl>
      <w:tblPr>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45"/>
        <w:gridCol w:w="2039"/>
        <w:gridCol w:w="1207"/>
        <w:gridCol w:w="1266"/>
        <w:gridCol w:w="1041"/>
        <w:gridCol w:w="803"/>
        <w:gridCol w:w="608"/>
        <w:gridCol w:w="608"/>
        <w:gridCol w:w="608"/>
        <w:gridCol w:w="1243"/>
        <w:gridCol w:w="1018"/>
        <w:gridCol w:w="803"/>
        <w:gridCol w:w="608"/>
        <w:gridCol w:w="645"/>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173" w:type="dxa"/>
            <w:gridSpan w:val="15"/>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bdr w:val="none" w:color="auto" w:sz="0" w:space="0"/>
                <w:lang w:val="en-US" w:eastAsia="zh-CN" w:bidi="ar"/>
              </w:rPr>
              <w:t>支出功能分类预算表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w:t>
            </w:r>
          </w:p>
        </w:tc>
        <w:tc>
          <w:tcPr>
            <w:tcW w:w="2039" w:type="dxa"/>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0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6"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18"/>
                <w:szCs w:val="18"/>
                <w:u w:val="none"/>
              </w:rPr>
            </w:pPr>
          </w:p>
        </w:tc>
        <w:tc>
          <w:tcPr>
            <w:tcW w:w="803"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60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897" w:type="dxa"/>
            <w:gridSpan w:val="1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科目编码</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科目名称</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49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本年收入</w:t>
            </w:r>
          </w:p>
        </w:tc>
        <w:tc>
          <w:tcPr>
            <w:tcW w:w="494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政府性基金预算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国有资本经营预算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财政专户管理资金</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政府性基金预算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国有资本经营预算</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财政专户管理资金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426.89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414.17</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414.17</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032001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营口市科学技术协会本级</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308.79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296.07</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296.07</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科学技术支出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233.87</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221.15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221.15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20601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科学技术管理事务</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206.15</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196.15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196.15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2060101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行政运行</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164.59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164.59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164.59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2060199</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其他科学技术管理事务支出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41.56</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31.56</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31.56</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20607</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科学技术普及</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27.72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2060799</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其他科学技术普及支出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27.72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w:t>
            </w: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社会保障和就业支出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47.24</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47.24</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47.24</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20805</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行政事业单位养老支出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42.01</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42.01</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42.01</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行政单位离退休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2080505</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机关事业单位基本养老保险缴费支出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21.77</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21.77</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21.77</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20808</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抚恤</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2080802</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伤残抚恤</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20899</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其他社会保障和就业支出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2089999</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其他社会保障和就业支出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卫生健康支出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21011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行政事业单位医疗</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行政单位医疗</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7.43</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7.43</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7.43</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2101103</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公务员医疗补助</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住房保障支出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22102</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住房改革支出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2210201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16.33</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032002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营口市科学技术馆</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118.10</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118.10</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118.10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科学技术支出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20607</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科学技术普及</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2060705</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科技馆站</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90.49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社会保障和就业支出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20805</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行政事业单位养老支出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11.30</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2080502</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事业单位离退休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2080505</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机关事业单位基本养老保险缴费支出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卫生健康支出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21011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行政事业单位医疗</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2101102</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事业单位医疗</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4.97</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4.97</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4.97</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2101103</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公务员医疗补助</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2.63</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2.63</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2.63</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2101199</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其他行政事业单位医疗支出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住房保障支出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22102</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住房改革支出</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2210201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10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8.29</w:t>
            </w: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1"/>
        <w:gridCol w:w="2221"/>
        <w:gridCol w:w="1179"/>
        <w:gridCol w:w="1246"/>
        <w:gridCol w:w="992"/>
        <w:gridCol w:w="827"/>
        <w:gridCol w:w="606"/>
        <w:gridCol w:w="606"/>
        <w:gridCol w:w="606"/>
        <w:gridCol w:w="1246"/>
        <w:gridCol w:w="992"/>
        <w:gridCol w:w="827"/>
        <w:gridCol w:w="607"/>
        <w:gridCol w:w="60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6117" w:type="dxa"/>
            <w:gridSpan w:val="15"/>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支出经济分类预算表（政府预算）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nil"/>
              <w:left w:val="nil"/>
              <w:bottom w:val="nil"/>
              <w:right w:val="nil"/>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33"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1133"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67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FFFFFF" w:fill="FFFFFF"/>
            <w:noWrap/>
            <w:vAlign w:val="center"/>
          </w:tcPr>
          <w:p>
            <w:pPr>
              <w:jc w:val="right"/>
              <w:rPr>
                <w:rFonts w:hint="eastAsia" w:ascii="宋体" w:hAnsi="宋体" w:eastAsia="宋体" w:cs="宋体"/>
                <w:i w:val="0"/>
                <w:iCs w:val="0"/>
                <w:color w:val="000000"/>
                <w:sz w:val="20"/>
                <w:szCs w:val="20"/>
                <w:u w:val="none"/>
              </w:rPr>
            </w:pPr>
          </w:p>
        </w:tc>
        <w:tc>
          <w:tcPr>
            <w:tcW w:w="67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08"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表11</w:t>
            </w:r>
          </w:p>
        </w:tc>
        <w:tc>
          <w:tcPr>
            <w:tcW w:w="2585" w:type="dxa"/>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4"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20"/>
                <w:szCs w:val="20"/>
                <w:u w:val="none"/>
              </w:rPr>
            </w:pPr>
          </w:p>
        </w:tc>
        <w:tc>
          <w:tcPr>
            <w:tcW w:w="938"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67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763" w:type="dxa"/>
            <w:gridSpan w:val="1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科目编码</w:t>
            </w:r>
          </w:p>
        </w:tc>
        <w:tc>
          <w:tcPr>
            <w:tcW w:w="2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总计</w:t>
            </w:r>
          </w:p>
        </w:tc>
        <w:tc>
          <w:tcPr>
            <w:tcW w:w="55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本年收入</w:t>
            </w:r>
          </w:p>
        </w:tc>
        <w:tc>
          <w:tcPr>
            <w:tcW w:w="55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一般公共预算</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政府性基金预算</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国有资本经营预算</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财政专户管理资金</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单位资金</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一般公共预算</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政府性基金预算</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国有资本经营预算</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财政专户管理资金</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426.89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414.17</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032001</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营口市科学技术协会本级</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308.79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296.07</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机关工资福利支出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189.07</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工资奖金津补贴</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139.21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139.21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139.21</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社会保障缴费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33.53</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16.33</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机关商品和服务支出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95.53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82.81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82.81</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12.72</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办公经费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36.57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26.57</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委托业务费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9.84</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公务用车运行维护费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其他商品和服务支出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46.87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44.15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44.15</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24.19</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社会福利和救助</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离退休费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19.37</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032002</w:t>
            </w:r>
          </w:p>
        </w:tc>
        <w:tc>
          <w:tcPr>
            <w:tcW w:w="2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营口市科学技术馆</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118.10</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机关商品和服务支出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办公经费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对事业单位经常性补助</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113.89</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工资福利支出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98.88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98.88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98.88</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商品和服务支出</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15.01</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50905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离退休费</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p/>
    <w:p>
      <w:pPr>
        <w:pStyle w:val="2"/>
      </w:pPr>
    </w:p>
    <w:p/>
    <w:p>
      <w:pPr>
        <w:pStyle w:val="2"/>
      </w:pPr>
    </w:p>
    <w:p/>
    <w:p>
      <w:pPr>
        <w:pStyle w:val="2"/>
      </w:pPr>
    </w:p>
    <w:p/>
    <w:p>
      <w:pPr>
        <w:pStyle w:val="2"/>
      </w:pPr>
    </w:p>
    <w:p/>
    <w:p>
      <w:pPr>
        <w:pStyle w:val="2"/>
      </w:pPr>
    </w:p>
    <w:p/>
    <w:p>
      <w:pPr>
        <w:pStyle w:val="2"/>
      </w:pPr>
    </w:p>
    <w:tbl>
      <w:tblPr>
        <w:tblW w:w="141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1"/>
        <w:gridCol w:w="2221"/>
        <w:gridCol w:w="1179"/>
        <w:gridCol w:w="1246"/>
        <w:gridCol w:w="992"/>
        <w:gridCol w:w="827"/>
        <w:gridCol w:w="606"/>
        <w:gridCol w:w="606"/>
        <w:gridCol w:w="606"/>
        <w:gridCol w:w="1246"/>
        <w:gridCol w:w="992"/>
        <w:gridCol w:w="827"/>
        <w:gridCol w:w="607"/>
        <w:gridCol w:w="60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140" w:type="dxa"/>
            <w:gridSpan w:val="15"/>
            <w:tcBorders>
              <w:top w:val="nil"/>
              <w:left w:val="nil"/>
              <w:bottom w:val="nil"/>
              <w:right w:val="nil"/>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支出经济分类预算表（部门预算）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971"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表12</w:t>
            </w:r>
          </w:p>
        </w:tc>
        <w:tc>
          <w:tcPr>
            <w:tcW w:w="2221" w:type="dxa"/>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179"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6"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FFFFFF" w:fill="FFFFFF"/>
            <w:noWrap/>
            <w:vAlign w:val="top"/>
          </w:tcPr>
          <w:p>
            <w:pPr>
              <w:rPr>
                <w:rFonts w:hint="eastAsia" w:ascii="宋体" w:hAnsi="宋体" w:eastAsia="宋体" w:cs="宋体"/>
                <w:i w:val="0"/>
                <w:iCs w:val="0"/>
                <w:color w:val="000000"/>
                <w:sz w:val="16"/>
                <w:szCs w:val="16"/>
                <w:u w:val="none"/>
              </w:rPr>
            </w:pPr>
          </w:p>
        </w:tc>
        <w:tc>
          <w:tcPr>
            <w:tcW w:w="82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607"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FFFFFF" w:fill="FFFFFF"/>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2926" w:type="dxa"/>
            <w:gridSpan w:val="1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0" w:type="auto"/>
            <w:gridSpan w:val="2"/>
            <w:tcBorders>
              <w:top w:val="nil"/>
              <w:left w:val="nil"/>
              <w:bottom w:val="nil"/>
              <w:right w:val="nil"/>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科目编码</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科目名称</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总计</w:t>
            </w:r>
          </w:p>
        </w:tc>
        <w:tc>
          <w:tcPr>
            <w:tcW w:w="488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本年收入</w:t>
            </w:r>
          </w:p>
        </w:tc>
        <w:tc>
          <w:tcPr>
            <w:tcW w:w="48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一般公共预算</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政府性基金预算</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国有资本经营预算</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财政专户管理资金</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单位资金</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一般公共预算</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政府性基金预算</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国有资本经营预算</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财政专户管理资金</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426.89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414.17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414.17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032001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营口市科学技术协会本级</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308.79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296.07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296.07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工资福利支出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189.07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189.07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189.07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基本工资</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66.89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66.89</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66.89</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津贴补贴</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33.45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33.45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33.45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奖金</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38.87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38.87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38.87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机关事业单位基本养老保险缴费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21.77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21.77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21.77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30110</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职工基本医疗保险缴费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7.43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7.43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7.43</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公务员医疗补助缴费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其他社会保障缴费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0.41</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0.41</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住房公积金</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16.33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16.33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16.33</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商品和服务支出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95.53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82.81</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82.81</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12.72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办公费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14.05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30205</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30206</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电费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30207</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邮电费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0.60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0.60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0.60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取暖费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30211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差旅费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30226</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劳务费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9.84</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30228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工会经费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30231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公务用车运行维护费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30239</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其他交通费用</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10.84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10.84</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10.84</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30299</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其他商品和服务支出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46.87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44.15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44.15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对个人和家庭的补助</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24.19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24.19</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24.19</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30301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离休费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13.82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13.82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13.82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30302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退休费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5.55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5.55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5.55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30304</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抚恤金</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032002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营口市科学技术馆</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118.10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118.10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118.10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工资福利支出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98.88</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98.88</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98.88</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基本工资</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44.04</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44.04</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44.04</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津贴补贴</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23.51</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23.51</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23.51</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30107</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绩效工资</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3.97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30108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机关事业单位基本养老保险缴费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11.05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11.05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11.05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30110</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职工基本医疗保险缴费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公务员医疗补助缴费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2.63</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其他社会保障缴费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0.42</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0.42</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0.42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30113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住房公积金</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8.29</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8.29</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商品和服务支出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18.97</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18.97</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18.97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办公费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5.85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5.85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5.85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30207</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邮电费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0.30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30211</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差旅费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0.50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30226</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劳务费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10.53</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30228</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工会经费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0.79</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0.79</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0.79</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30299</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其他商品和服务支出</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对个人和家庭的补助</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30302</w:t>
            </w:r>
          </w:p>
        </w:tc>
        <w:tc>
          <w:tcPr>
            <w:tcW w:w="2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退休费</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0.25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tbl>
      <w:tblPr>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87"/>
        <w:gridCol w:w="1790"/>
        <w:gridCol w:w="1790"/>
        <w:gridCol w:w="2130"/>
        <w:gridCol w:w="1302"/>
        <w:gridCol w:w="1741"/>
        <w:gridCol w:w="1642"/>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4173"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bdr w:val="none" w:color="auto" w:sz="0" w:space="0"/>
                <w:lang w:val="en-US" w:eastAsia="zh-CN" w:bidi="ar"/>
              </w:rPr>
              <w:t>部门（单位）整体绩效目标表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表16</w:t>
            </w:r>
          </w:p>
        </w:tc>
        <w:tc>
          <w:tcPr>
            <w:tcW w:w="1790"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0"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130"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302"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41"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42" w:type="dxa"/>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部门（单位）名称</w:t>
            </w:r>
          </w:p>
        </w:tc>
        <w:tc>
          <w:tcPr>
            <w:tcW w:w="1218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032001营口市科学技术协会本级-210800000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年度主要任务</w:t>
            </w: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对应项目</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基本支出人员经费（保工资）</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基本支出人员经费（刚性）</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基本支出公用经费（保运转）</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基本支出公用经费（其他）</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年度绩效目标</w:t>
            </w:r>
          </w:p>
        </w:tc>
        <w:tc>
          <w:tcPr>
            <w:tcW w:w="1218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完成当年任务，有效完成本年目标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年度绩效指标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二级指标</w:t>
            </w:r>
          </w:p>
        </w:tc>
        <w:tc>
          <w:tcPr>
            <w:tcW w:w="21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三级指标</w:t>
            </w:r>
          </w:p>
        </w:tc>
        <w:tc>
          <w:tcPr>
            <w:tcW w:w="13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运算符号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指标值</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履职效能</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重点工作履行情况</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重点工作办结率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综合管理水平</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整体工作完成情况</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工作完成及时率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工作质量达标率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总体工作完成率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预算执行效率</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结转结余变动率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预算调整率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管理效率</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预算绩效目标覆盖率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预算监督管理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预决算公开情况</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全部公开</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预算收支管理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预算收入管理规范性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预算支出管理规范性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财务管理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内控制度有效性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制度有效</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资产管理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固定资产利用率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业务管理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政府采购管理违法违规行为发生次数</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运行成本</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成本控制成效</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“三公”经费变动率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在职人员控制率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社会效应</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政治效益</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党建与业务工作融合</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&gt;=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77</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生态效益</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有效减少城市开发建设对生态环境影响</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参训人员满意度</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&gt;=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77</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可持续性</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体制机制改革</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彩票机构运行平稳</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多部门联动督导</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&gt;=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77</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部门（单位）名称</w:t>
            </w:r>
          </w:p>
        </w:tc>
        <w:tc>
          <w:tcPr>
            <w:tcW w:w="1218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032002营口市科学技术馆-210800000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年度主要任务</w:t>
            </w: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对应项目</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基本支出人员经费（保工资）</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基本支出人员经费（刚性）</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基本支出公用经费（保运转）</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701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基本支出公用经费（其他）</w:t>
            </w:r>
          </w:p>
        </w:tc>
        <w:tc>
          <w:tcPr>
            <w:tcW w:w="517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年度绩效目标</w:t>
            </w:r>
          </w:p>
        </w:tc>
        <w:tc>
          <w:tcPr>
            <w:tcW w:w="1218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保障单位正常工作运转，各部门充分履职完成各项工作任务。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年度绩效指标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二级指标</w:t>
            </w:r>
          </w:p>
        </w:tc>
        <w:tc>
          <w:tcPr>
            <w:tcW w:w="21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三级指标</w:t>
            </w:r>
          </w:p>
        </w:tc>
        <w:tc>
          <w:tcPr>
            <w:tcW w:w="13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运算符号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指标值</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履职效能</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重点工作履行情况</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重点工作办结率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综合管理水平</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整体工作完成情况</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工作完成及时率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工作质量达标率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总体工作完成率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预算执行效率</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结转结余变动率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预算调整率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管理效率</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预算绩效目标覆盖率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预算监督管理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预决算公开情况</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全部公开</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预算收支管理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预算收入管理规范性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预算支出管理规范性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管理规范</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财务管理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内控制度有效性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制度有效</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资产管理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固定资产利用率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业务管理</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政府采购管理违法违规行为发生次数</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运行成本</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成本控制成效</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“三公”经费变动率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在职人员控制率</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&lt;=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社会效应</w:t>
            </w: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服务对象满意程度</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社会公众满意度</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社会公众满意程度</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&gt;=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主管部门满意度</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主管部门满意程度</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可持续性</w:t>
            </w:r>
          </w:p>
        </w:tc>
        <w:tc>
          <w:tcPr>
            <w:tcW w:w="17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体制机制改革</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受众群体满意度</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&gt;=</w:t>
            </w: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项目效果持续性</w:t>
            </w:r>
          </w:p>
        </w:tc>
        <w:tc>
          <w:tcPr>
            <w:tcW w:w="13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w:t>
            </w:r>
          </w:p>
        </w:tc>
        <w:tc>
          <w:tcPr>
            <w:tcW w:w="16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2026-12</w:t>
            </w:r>
          </w:p>
        </w:tc>
      </w:tr>
    </w:tbl>
    <w:p>
      <w:pPr>
        <w:pStyle w:val="2"/>
      </w:pPr>
      <w:bookmarkStart w:id="0" w:name="_GoBack"/>
      <w:bookmarkEnd w:id="0"/>
    </w:p>
    <w:sectPr>
      <w:pgSz w:w="16838" w:h="11906" w:orient="landscape"/>
      <w:pgMar w:top="947" w:right="1440" w:bottom="947" w:left="1383" w:header="851" w:footer="992" w:gutter="0"/>
      <w:cols w:space="0" w:num="1"/>
      <w:titlePg/>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769EA"/>
    <w:multiLevelType w:val="singleLevel"/>
    <w:tmpl w:val="601769EA"/>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DA5YTI1YjJjODg3Nzk0MjVhZjZmMDM3MjNiNzUifQ=="/>
    <w:docVar w:name="KSO_WPS_MARK_KEY" w:val="fff2aa8f-f166-4f54-896b-96c709af8903"/>
  </w:docVars>
  <w:rsids>
    <w:rsidRoot w:val="001F4B21"/>
    <w:rsid w:val="000048A5"/>
    <w:rsid w:val="00007E46"/>
    <w:rsid w:val="000133BF"/>
    <w:rsid w:val="00022421"/>
    <w:rsid w:val="00024EC7"/>
    <w:rsid w:val="0002546B"/>
    <w:rsid w:val="0003153C"/>
    <w:rsid w:val="00032156"/>
    <w:rsid w:val="00042F4C"/>
    <w:rsid w:val="0004398C"/>
    <w:rsid w:val="0004572D"/>
    <w:rsid w:val="00051065"/>
    <w:rsid w:val="00054F25"/>
    <w:rsid w:val="00065C08"/>
    <w:rsid w:val="00073E3F"/>
    <w:rsid w:val="000906C5"/>
    <w:rsid w:val="000A47B7"/>
    <w:rsid w:val="000B3BE6"/>
    <w:rsid w:val="000B642D"/>
    <w:rsid w:val="000C25F9"/>
    <w:rsid w:val="000E1D7E"/>
    <w:rsid w:val="000E1DEF"/>
    <w:rsid w:val="000F3D4B"/>
    <w:rsid w:val="000F4A22"/>
    <w:rsid w:val="0010770D"/>
    <w:rsid w:val="001100B7"/>
    <w:rsid w:val="0012365F"/>
    <w:rsid w:val="001332DE"/>
    <w:rsid w:val="0013380C"/>
    <w:rsid w:val="00134FAF"/>
    <w:rsid w:val="001364E5"/>
    <w:rsid w:val="0013683A"/>
    <w:rsid w:val="001441A4"/>
    <w:rsid w:val="00156A4A"/>
    <w:rsid w:val="0016412F"/>
    <w:rsid w:val="001656BE"/>
    <w:rsid w:val="00175D02"/>
    <w:rsid w:val="00181D39"/>
    <w:rsid w:val="001846A6"/>
    <w:rsid w:val="001A415E"/>
    <w:rsid w:val="001A4640"/>
    <w:rsid w:val="001B77A9"/>
    <w:rsid w:val="001C1FBF"/>
    <w:rsid w:val="001C4D67"/>
    <w:rsid w:val="001D0424"/>
    <w:rsid w:val="001E32B1"/>
    <w:rsid w:val="001E3B59"/>
    <w:rsid w:val="001E3BB8"/>
    <w:rsid w:val="001F4B21"/>
    <w:rsid w:val="001F4DC4"/>
    <w:rsid w:val="001F5515"/>
    <w:rsid w:val="002003A2"/>
    <w:rsid w:val="00201094"/>
    <w:rsid w:val="00201459"/>
    <w:rsid w:val="002020FA"/>
    <w:rsid w:val="00203F23"/>
    <w:rsid w:val="002052C1"/>
    <w:rsid w:val="00207EF8"/>
    <w:rsid w:val="00210A14"/>
    <w:rsid w:val="002114F4"/>
    <w:rsid w:val="002137BF"/>
    <w:rsid w:val="0022096B"/>
    <w:rsid w:val="0022238E"/>
    <w:rsid w:val="00222BC7"/>
    <w:rsid w:val="00223284"/>
    <w:rsid w:val="0022540A"/>
    <w:rsid w:val="00227F7C"/>
    <w:rsid w:val="002335DF"/>
    <w:rsid w:val="00245461"/>
    <w:rsid w:val="00246231"/>
    <w:rsid w:val="00246CE3"/>
    <w:rsid w:val="00247688"/>
    <w:rsid w:val="0026131E"/>
    <w:rsid w:val="002625EE"/>
    <w:rsid w:val="00264E0A"/>
    <w:rsid w:val="002859E0"/>
    <w:rsid w:val="0029002D"/>
    <w:rsid w:val="00296E48"/>
    <w:rsid w:val="002A22FD"/>
    <w:rsid w:val="002A2DF7"/>
    <w:rsid w:val="002B4307"/>
    <w:rsid w:val="002C1A77"/>
    <w:rsid w:val="002C210E"/>
    <w:rsid w:val="002E3F3E"/>
    <w:rsid w:val="002F7837"/>
    <w:rsid w:val="00303749"/>
    <w:rsid w:val="003110BE"/>
    <w:rsid w:val="00313B70"/>
    <w:rsid w:val="00314ECD"/>
    <w:rsid w:val="00321418"/>
    <w:rsid w:val="00331390"/>
    <w:rsid w:val="00340F06"/>
    <w:rsid w:val="00344F39"/>
    <w:rsid w:val="00352555"/>
    <w:rsid w:val="00353C5E"/>
    <w:rsid w:val="003630B0"/>
    <w:rsid w:val="0036408C"/>
    <w:rsid w:val="00365D58"/>
    <w:rsid w:val="003664F3"/>
    <w:rsid w:val="00367798"/>
    <w:rsid w:val="003858E5"/>
    <w:rsid w:val="00391EA2"/>
    <w:rsid w:val="00393F53"/>
    <w:rsid w:val="003A0063"/>
    <w:rsid w:val="003A04EC"/>
    <w:rsid w:val="003A06BD"/>
    <w:rsid w:val="003A4F29"/>
    <w:rsid w:val="003C444A"/>
    <w:rsid w:val="003E0DAF"/>
    <w:rsid w:val="003E4A52"/>
    <w:rsid w:val="003E694A"/>
    <w:rsid w:val="003F3466"/>
    <w:rsid w:val="003F4695"/>
    <w:rsid w:val="003F6E5B"/>
    <w:rsid w:val="004037DF"/>
    <w:rsid w:val="00414072"/>
    <w:rsid w:val="004152DB"/>
    <w:rsid w:val="0042230F"/>
    <w:rsid w:val="004265C6"/>
    <w:rsid w:val="00426B4B"/>
    <w:rsid w:val="00437E10"/>
    <w:rsid w:val="0044636A"/>
    <w:rsid w:val="00476F8F"/>
    <w:rsid w:val="00486679"/>
    <w:rsid w:val="00493F18"/>
    <w:rsid w:val="004943FF"/>
    <w:rsid w:val="00495584"/>
    <w:rsid w:val="004A4FDC"/>
    <w:rsid w:val="004A72AF"/>
    <w:rsid w:val="004B143F"/>
    <w:rsid w:val="004C0904"/>
    <w:rsid w:val="004C4DE5"/>
    <w:rsid w:val="004D2F79"/>
    <w:rsid w:val="004D584E"/>
    <w:rsid w:val="004D7A05"/>
    <w:rsid w:val="004E0C11"/>
    <w:rsid w:val="004E78BE"/>
    <w:rsid w:val="004F0520"/>
    <w:rsid w:val="004F4D7E"/>
    <w:rsid w:val="004F5303"/>
    <w:rsid w:val="00510447"/>
    <w:rsid w:val="005127EF"/>
    <w:rsid w:val="00515B98"/>
    <w:rsid w:val="005222F9"/>
    <w:rsid w:val="00532926"/>
    <w:rsid w:val="005402C5"/>
    <w:rsid w:val="005460BF"/>
    <w:rsid w:val="0054694B"/>
    <w:rsid w:val="00550F83"/>
    <w:rsid w:val="0055106B"/>
    <w:rsid w:val="00552654"/>
    <w:rsid w:val="005555E7"/>
    <w:rsid w:val="00555F4E"/>
    <w:rsid w:val="0057459C"/>
    <w:rsid w:val="00577A55"/>
    <w:rsid w:val="005808B9"/>
    <w:rsid w:val="00583D3E"/>
    <w:rsid w:val="00584A71"/>
    <w:rsid w:val="00585962"/>
    <w:rsid w:val="00592B0A"/>
    <w:rsid w:val="00595870"/>
    <w:rsid w:val="005A0EF3"/>
    <w:rsid w:val="005A5C5F"/>
    <w:rsid w:val="005B0557"/>
    <w:rsid w:val="005C4ABB"/>
    <w:rsid w:val="005C4E9E"/>
    <w:rsid w:val="005C54B4"/>
    <w:rsid w:val="005C6815"/>
    <w:rsid w:val="005F11E5"/>
    <w:rsid w:val="00600E56"/>
    <w:rsid w:val="0060382D"/>
    <w:rsid w:val="006040F6"/>
    <w:rsid w:val="00605615"/>
    <w:rsid w:val="006057DC"/>
    <w:rsid w:val="00605F98"/>
    <w:rsid w:val="006064EB"/>
    <w:rsid w:val="00607DB4"/>
    <w:rsid w:val="00612625"/>
    <w:rsid w:val="00616C8C"/>
    <w:rsid w:val="00616F4E"/>
    <w:rsid w:val="006243E7"/>
    <w:rsid w:val="00625388"/>
    <w:rsid w:val="0062602A"/>
    <w:rsid w:val="00627D2A"/>
    <w:rsid w:val="006307F2"/>
    <w:rsid w:val="00633168"/>
    <w:rsid w:val="00636659"/>
    <w:rsid w:val="0064235B"/>
    <w:rsid w:val="00642B16"/>
    <w:rsid w:val="0064390F"/>
    <w:rsid w:val="00644B0C"/>
    <w:rsid w:val="00645EDB"/>
    <w:rsid w:val="00646255"/>
    <w:rsid w:val="006470E5"/>
    <w:rsid w:val="006667C4"/>
    <w:rsid w:val="0067371A"/>
    <w:rsid w:val="0068053A"/>
    <w:rsid w:val="006863E1"/>
    <w:rsid w:val="006870E5"/>
    <w:rsid w:val="00687611"/>
    <w:rsid w:val="00692DF0"/>
    <w:rsid w:val="00696EED"/>
    <w:rsid w:val="006A1F21"/>
    <w:rsid w:val="006A6E55"/>
    <w:rsid w:val="006A798C"/>
    <w:rsid w:val="006B2685"/>
    <w:rsid w:val="006C071F"/>
    <w:rsid w:val="006C1E92"/>
    <w:rsid w:val="006C2F3F"/>
    <w:rsid w:val="006C3B05"/>
    <w:rsid w:val="006C3EC1"/>
    <w:rsid w:val="006C6599"/>
    <w:rsid w:val="006D5585"/>
    <w:rsid w:val="006D75C4"/>
    <w:rsid w:val="006E1AF1"/>
    <w:rsid w:val="006E28B5"/>
    <w:rsid w:val="006E43B1"/>
    <w:rsid w:val="006F2679"/>
    <w:rsid w:val="0070065A"/>
    <w:rsid w:val="007119CC"/>
    <w:rsid w:val="00721FD3"/>
    <w:rsid w:val="0072268A"/>
    <w:rsid w:val="007232B8"/>
    <w:rsid w:val="00724191"/>
    <w:rsid w:val="00730D65"/>
    <w:rsid w:val="00731AA4"/>
    <w:rsid w:val="00732C10"/>
    <w:rsid w:val="00734A9C"/>
    <w:rsid w:val="007354FB"/>
    <w:rsid w:val="007406C0"/>
    <w:rsid w:val="00741F03"/>
    <w:rsid w:val="007456A4"/>
    <w:rsid w:val="00773350"/>
    <w:rsid w:val="00773BD8"/>
    <w:rsid w:val="007A75ED"/>
    <w:rsid w:val="007B3491"/>
    <w:rsid w:val="007C3D56"/>
    <w:rsid w:val="007D2208"/>
    <w:rsid w:val="007D3678"/>
    <w:rsid w:val="007D5C00"/>
    <w:rsid w:val="007D5C20"/>
    <w:rsid w:val="007E10AF"/>
    <w:rsid w:val="007E2348"/>
    <w:rsid w:val="007F2FF7"/>
    <w:rsid w:val="007F3E2E"/>
    <w:rsid w:val="007F4788"/>
    <w:rsid w:val="007F6A7A"/>
    <w:rsid w:val="00804577"/>
    <w:rsid w:val="00814382"/>
    <w:rsid w:val="00816E1B"/>
    <w:rsid w:val="008177C7"/>
    <w:rsid w:val="008211C9"/>
    <w:rsid w:val="008234DA"/>
    <w:rsid w:val="00825D6B"/>
    <w:rsid w:val="00827E6A"/>
    <w:rsid w:val="008301EF"/>
    <w:rsid w:val="00832E30"/>
    <w:rsid w:val="008369B0"/>
    <w:rsid w:val="00837D30"/>
    <w:rsid w:val="00847466"/>
    <w:rsid w:val="008604B0"/>
    <w:rsid w:val="008740C1"/>
    <w:rsid w:val="0087547D"/>
    <w:rsid w:val="00876D1D"/>
    <w:rsid w:val="00895609"/>
    <w:rsid w:val="008A6F4E"/>
    <w:rsid w:val="008B2071"/>
    <w:rsid w:val="008B2083"/>
    <w:rsid w:val="008B2BFB"/>
    <w:rsid w:val="008B567B"/>
    <w:rsid w:val="008D67C1"/>
    <w:rsid w:val="008D6BAE"/>
    <w:rsid w:val="008E14F7"/>
    <w:rsid w:val="008F085F"/>
    <w:rsid w:val="008F4786"/>
    <w:rsid w:val="009122B2"/>
    <w:rsid w:val="00912532"/>
    <w:rsid w:val="0091437F"/>
    <w:rsid w:val="00917BF2"/>
    <w:rsid w:val="00926C07"/>
    <w:rsid w:val="00932D2C"/>
    <w:rsid w:val="00941A4D"/>
    <w:rsid w:val="0095395F"/>
    <w:rsid w:val="00954AA1"/>
    <w:rsid w:val="00970433"/>
    <w:rsid w:val="00992766"/>
    <w:rsid w:val="0099456C"/>
    <w:rsid w:val="009A2955"/>
    <w:rsid w:val="009A4153"/>
    <w:rsid w:val="009B50A6"/>
    <w:rsid w:val="009C0E1F"/>
    <w:rsid w:val="009C78B8"/>
    <w:rsid w:val="009D4D50"/>
    <w:rsid w:val="009E3607"/>
    <w:rsid w:val="009E4011"/>
    <w:rsid w:val="009E6934"/>
    <w:rsid w:val="009F0437"/>
    <w:rsid w:val="009F4519"/>
    <w:rsid w:val="009F666E"/>
    <w:rsid w:val="00A050CA"/>
    <w:rsid w:val="00A05CA5"/>
    <w:rsid w:val="00A1076A"/>
    <w:rsid w:val="00A16982"/>
    <w:rsid w:val="00A31903"/>
    <w:rsid w:val="00A45684"/>
    <w:rsid w:val="00A462FD"/>
    <w:rsid w:val="00A6246E"/>
    <w:rsid w:val="00A64808"/>
    <w:rsid w:val="00A71852"/>
    <w:rsid w:val="00A80480"/>
    <w:rsid w:val="00A80FD5"/>
    <w:rsid w:val="00A860C3"/>
    <w:rsid w:val="00A877C7"/>
    <w:rsid w:val="00A91A3A"/>
    <w:rsid w:val="00A93DBE"/>
    <w:rsid w:val="00A966FF"/>
    <w:rsid w:val="00AA1922"/>
    <w:rsid w:val="00AC34D0"/>
    <w:rsid w:val="00AC480B"/>
    <w:rsid w:val="00AD2E2D"/>
    <w:rsid w:val="00AE7A0D"/>
    <w:rsid w:val="00B03ED6"/>
    <w:rsid w:val="00B0465C"/>
    <w:rsid w:val="00B1023F"/>
    <w:rsid w:val="00B17365"/>
    <w:rsid w:val="00B3097E"/>
    <w:rsid w:val="00B3322E"/>
    <w:rsid w:val="00B34341"/>
    <w:rsid w:val="00B43C68"/>
    <w:rsid w:val="00B45B68"/>
    <w:rsid w:val="00B530B3"/>
    <w:rsid w:val="00B54F33"/>
    <w:rsid w:val="00B64505"/>
    <w:rsid w:val="00B64E59"/>
    <w:rsid w:val="00B718FD"/>
    <w:rsid w:val="00B72DC4"/>
    <w:rsid w:val="00B85E08"/>
    <w:rsid w:val="00B862F1"/>
    <w:rsid w:val="00B876F3"/>
    <w:rsid w:val="00B954BC"/>
    <w:rsid w:val="00BA1A55"/>
    <w:rsid w:val="00BA4728"/>
    <w:rsid w:val="00BB03CD"/>
    <w:rsid w:val="00BB1BBB"/>
    <w:rsid w:val="00BB3262"/>
    <w:rsid w:val="00BB593E"/>
    <w:rsid w:val="00BB74D8"/>
    <w:rsid w:val="00BC197F"/>
    <w:rsid w:val="00BC32E3"/>
    <w:rsid w:val="00BD4E6F"/>
    <w:rsid w:val="00BD543E"/>
    <w:rsid w:val="00BE0968"/>
    <w:rsid w:val="00BE3584"/>
    <w:rsid w:val="00BE7B78"/>
    <w:rsid w:val="00C00427"/>
    <w:rsid w:val="00C063ED"/>
    <w:rsid w:val="00C116AA"/>
    <w:rsid w:val="00C13E8F"/>
    <w:rsid w:val="00C14110"/>
    <w:rsid w:val="00C164CA"/>
    <w:rsid w:val="00C205B2"/>
    <w:rsid w:val="00C30E2E"/>
    <w:rsid w:val="00C45BFE"/>
    <w:rsid w:val="00C5023B"/>
    <w:rsid w:val="00C57542"/>
    <w:rsid w:val="00C5780C"/>
    <w:rsid w:val="00C61CCD"/>
    <w:rsid w:val="00C656DC"/>
    <w:rsid w:val="00C71D5C"/>
    <w:rsid w:val="00C9239A"/>
    <w:rsid w:val="00C938AA"/>
    <w:rsid w:val="00CA3545"/>
    <w:rsid w:val="00CA36DD"/>
    <w:rsid w:val="00CB433D"/>
    <w:rsid w:val="00CC2F87"/>
    <w:rsid w:val="00CD34D3"/>
    <w:rsid w:val="00CE11E3"/>
    <w:rsid w:val="00CE1377"/>
    <w:rsid w:val="00CE245C"/>
    <w:rsid w:val="00CE2746"/>
    <w:rsid w:val="00CE63ED"/>
    <w:rsid w:val="00CF4A89"/>
    <w:rsid w:val="00D12C10"/>
    <w:rsid w:val="00D22F31"/>
    <w:rsid w:val="00D238BC"/>
    <w:rsid w:val="00D269C4"/>
    <w:rsid w:val="00D316A1"/>
    <w:rsid w:val="00D32B4A"/>
    <w:rsid w:val="00D3350D"/>
    <w:rsid w:val="00D33629"/>
    <w:rsid w:val="00D33984"/>
    <w:rsid w:val="00D33CB1"/>
    <w:rsid w:val="00D3769E"/>
    <w:rsid w:val="00D433E9"/>
    <w:rsid w:val="00D47A1E"/>
    <w:rsid w:val="00D71AF2"/>
    <w:rsid w:val="00D758CC"/>
    <w:rsid w:val="00D75E88"/>
    <w:rsid w:val="00D80E84"/>
    <w:rsid w:val="00D8148A"/>
    <w:rsid w:val="00D82BFF"/>
    <w:rsid w:val="00D951D8"/>
    <w:rsid w:val="00DA7B73"/>
    <w:rsid w:val="00DB2147"/>
    <w:rsid w:val="00DB48EE"/>
    <w:rsid w:val="00DB6425"/>
    <w:rsid w:val="00DC387B"/>
    <w:rsid w:val="00DC5D43"/>
    <w:rsid w:val="00DE1F2B"/>
    <w:rsid w:val="00DE23A0"/>
    <w:rsid w:val="00DE32D8"/>
    <w:rsid w:val="00DF1754"/>
    <w:rsid w:val="00E1628B"/>
    <w:rsid w:val="00E174DA"/>
    <w:rsid w:val="00E26BED"/>
    <w:rsid w:val="00E27A17"/>
    <w:rsid w:val="00E31F50"/>
    <w:rsid w:val="00E53488"/>
    <w:rsid w:val="00E54C91"/>
    <w:rsid w:val="00E563EB"/>
    <w:rsid w:val="00E578B5"/>
    <w:rsid w:val="00E57A06"/>
    <w:rsid w:val="00E6205C"/>
    <w:rsid w:val="00E63978"/>
    <w:rsid w:val="00E63A6D"/>
    <w:rsid w:val="00E652F3"/>
    <w:rsid w:val="00E72396"/>
    <w:rsid w:val="00E72423"/>
    <w:rsid w:val="00E76A34"/>
    <w:rsid w:val="00E76E63"/>
    <w:rsid w:val="00EC15B9"/>
    <w:rsid w:val="00EC55F1"/>
    <w:rsid w:val="00ED10C9"/>
    <w:rsid w:val="00ED2999"/>
    <w:rsid w:val="00ED33DC"/>
    <w:rsid w:val="00ED4939"/>
    <w:rsid w:val="00EE19E6"/>
    <w:rsid w:val="00EE4854"/>
    <w:rsid w:val="00F01DD7"/>
    <w:rsid w:val="00F22489"/>
    <w:rsid w:val="00F234F5"/>
    <w:rsid w:val="00F305AA"/>
    <w:rsid w:val="00F6732E"/>
    <w:rsid w:val="00F77CD4"/>
    <w:rsid w:val="00F81ABA"/>
    <w:rsid w:val="00F85E64"/>
    <w:rsid w:val="00F90DDE"/>
    <w:rsid w:val="00F953F8"/>
    <w:rsid w:val="00F969C4"/>
    <w:rsid w:val="00FA7402"/>
    <w:rsid w:val="00FA79EA"/>
    <w:rsid w:val="00FA7C82"/>
    <w:rsid w:val="00FB14EE"/>
    <w:rsid w:val="00FB4B59"/>
    <w:rsid w:val="00FB6E35"/>
    <w:rsid w:val="00FC2939"/>
    <w:rsid w:val="00FD3CCD"/>
    <w:rsid w:val="00FE3108"/>
    <w:rsid w:val="00FE3361"/>
    <w:rsid w:val="00FE6175"/>
    <w:rsid w:val="00FE7DD8"/>
    <w:rsid w:val="00FF08FA"/>
    <w:rsid w:val="00FF712A"/>
    <w:rsid w:val="01473B55"/>
    <w:rsid w:val="017D3C08"/>
    <w:rsid w:val="01A746F3"/>
    <w:rsid w:val="02C51D20"/>
    <w:rsid w:val="03930692"/>
    <w:rsid w:val="03D4408D"/>
    <w:rsid w:val="04C92FF4"/>
    <w:rsid w:val="0523406D"/>
    <w:rsid w:val="05590D97"/>
    <w:rsid w:val="069B1278"/>
    <w:rsid w:val="06B84EC6"/>
    <w:rsid w:val="06F26EF4"/>
    <w:rsid w:val="07000E37"/>
    <w:rsid w:val="076641DD"/>
    <w:rsid w:val="077A6D35"/>
    <w:rsid w:val="078D0595"/>
    <w:rsid w:val="07FB97D1"/>
    <w:rsid w:val="080D4122"/>
    <w:rsid w:val="085B1DF0"/>
    <w:rsid w:val="08D65034"/>
    <w:rsid w:val="09236A9D"/>
    <w:rsid w:val="09B35DC1"/>
    <w:rsid w:val="0A7E50A7"/>
    <w:rsid w:val="0AD42FF7"/>
    <w:rsid w:val="0B053EC8"/>
    <w:rsid w:val="0B642054"/>
    <w:rsid w:val="0BB208C5"/>
    <w:rsid w:val="0C423125"/>
    <w:rsid w:val="0D2427C1"/>
    <w:rsid w:val="0E5D2B9E"/>
    <w:rsid w:val="0E6D4386"/>
    <w:rsid w:val="0F2A085F"/>
    <w:rsid w:val="0F7349CC"/>
    <w:rsid w:val="106E56DE"/>
    <w:rsid w:val="11B20219"/>
    <w:rsid w:val="126B66EF"/>
    <w:rsid w:val="127267ED"/>
    <w:rsid w:val="130D280B"/>
    <w:rsid w:val="132428BF"/>
    <w:rsid w:val="17676F00"/>
    <w:rsid w:val="17B616E5"/>
    <w:rsid w:val="17F07D94"/>
    <w:rsid w:val="1877372F"/>
    <w:rsid w:val="189B1ADC"/>
    <w:rsid w:val="18C33AC7"/>
    <w:rsid w:val="18DF049C"/>
    <w:rsid w:val="18EC27B3"/>
    <w:rsid w:val="19027D91"/>
    <w:rsid w:val="19455480"/>
    <w:rsid w:val="1A0F73A5"/>
    <w:rsid w:val="1AFF79D0"/>
    <w:rsid w:val="1B2059B8"/>
    <w:rsid w:val="1B4E181C"/>
    <w:rsid w:val="1B6601DF"/>
    <w:rsid w:val="1B8F6A9A"/>
    <w:rsid w:val="1BAB328C"/>
    <w:rsid w:val="1BCE367C"/>
    <w:rsid w:val="1BDE2B69"/>
    <w:rsid w:val="1BF84BC7"/>
    <w:rsid w:val="1C4A0633"/>
    <w:rsid w:val="1D462851"/>
    <w:rsid w:val="1D667501"/>
    <w:rsid w:val="1DF602FB"/>
    <w:rsid w:val="1E0F132C"/>
    <w:rsid w:val="1F212A66"/>
    <w:rsid w:val="1F315D3A"/>
    <w:rsid w:val="1FFF5969"/>
    <w:rsid w:val="200D6146"/>
    <w:rsid w:val="215A4D90"/>
    <w:rsid w:val="225F55CE"/>
    <w:rsid w:val="23E13ABE"/>
    <w:rsid w:val="24D3660E"/>
    <w:rsid w:val="24DB746F"/>
    <w:rsid w:val="260E190B"/>
    <w:rsid w:val="266A177F"/>
    <w:rsid w:val="270615B9"/>
    <w:rsid w:val="270B1A4A"/>
    <w:rsid w:val="27727FFE"/>
    <w:rsid w:val="27773A27"/>
    <w:rsid w:val="298C6232"/>
    <w:rsid w:val="29990502"/>
    <w:rsid w:val="29E6061F"/>
    <w:rsid w:val="2A3E5AEE"/>
    <w:rsid w:val="2B7DC5E7"/>
    <w:rsid w:val="2BF47C3E"/>
    <w:rsid w:val="2D2449BD"/>
    <w:rsid w:val="2EB3162C"/>
    <w:rsid w:val="2EE465A5"/>
    <w:rsid w:val="2F142285"/>
    <w:rsid w:val="2F3DE142"/>
    <w:rsid w:val="2FAC4B1B"/>
    <w:rsid w:val="313E7D46"/>
    <w:rsid w:val="316C7C8A"/>
    <w:rsid w:val="31DE6AA2"/>
    <w:rsid w:val="31EE3102"/>
    <w:rsid w:val="31FB3A39"/>
    <w:rsid w:val="34190834"/>
    <w:rsid w:val="3505415D"/>
    <w:rsid w:val="35BE487C"/>
    <w:rsid w:val="365A03F2"/>
    <w:rsid w:val="36F6584D"/>
    <w:rsid w:val="3757F7CA"/>
    <w:rsid w:val="385D4246"/>
    <w:rsid w:val="396661E0"/>
    <w:rsid w:val="39D46840"/>
    <w:rsid w:val="39FC9D6E"/>
    <w:rsid w:val="3ADF145F"/>
    <w:rsid w:val="3AE4639A"/>
    <w:rsid w:val="3B697A90"/>
    <w:rsid w:val="3C1C2BDE"/>
    <w:rsid w:val="3CA073AF"/>
    <w:rsid w:val="3CCC7C75"/>
    <w:rsid w:val="3CE3375A"/>
    <w:rsid w:val="3DBF7571"/>
    <w:rsid w:val="3DC668D9"/>
    <w:rsid w:val="3EB7A014"/>
    <w:rsid w:val="3EC14D35"/>
    <w:rsid w:val="3F732F2F"/>
    <w:rsid w:val="3FBF7077"/>
    <w:rsid w:val="3FBFDA26"/>
    <w:rsid w:val="3FF3C106"/>
    <w:rsid w:val="3FFF4FC7"/>
    <w:rsid w:val="40353DED"/>
    <w:rsid w:val="40D02D3C"/>
    <w:rsid w:val="41852724"/>
    <w:rsid w:val="419C619B"/>
    <w:rsid w:val="42296E75"/>
    <w:rsid w:val="43243DE7"/>
    <w:rsid w:val="43F97ACA"/>
    <w:rsid w:val="4602561E"/>
    <w:rsid w:val="46460D56"/>
    <w:rsid w:val="46AF075C"/>
    <w:rsid w:val="46E13712"/>
    <w:rsid w:val="470E1B72"/>
    <w:rsid w:val="4792414F"/>
    <w:rsid w:val="479A5FB8"/>
    <w:rsid w:val="47B807F3"/>
    <w:rsid w:val="47E81BB1"/>
    <w:rsid w:val="47FC6910"/>
    <w:rsid w:val="4A623313"/>
    <w:rsid w:val="4A726690"/>
    <w:rsid w:val="4B1B6C71"/>
    <w:rsid w:val="4C281EF3"/>
    <w:rsid w:val="4CDD4B47"/>
    <w:rsid w:val="4CE12E15"/>
    <w:rsid w:val="4D312DA7"/>
    <w:rsid w:val="4D69924D"/>
    <w:rsid w:val="4F055FF2"/>
    <w:rsid w:val="4F77935B"/>
    <w:rsid w:val="4FC53A84"/>
    <w:rsid w:val="50CD3132"/>
    <w:rsid w:val="51993F9E"/>
    <w:rsid w:val="52184D14"/>
    <w:rsid w:val="525D300E"/>
    <w:rsid w:val="53681604"/>
    <w:rsid w:val="536979A6"/>
    <w:rsid w:val="55DFA0A0"/>
    <w:rsid w:val="561435A7"/>
    <w:rsid w:val="569F3D76"/>
    <w:rsid w:val="576818B0"/>
    <w:rsid w:val="57ED2858"/>
    <w:rsid w:val="57FA6D49"/>
    <w:rsid w:val="59143D47"/>
    <w:rsid w:val="59A71EE5"/>
    <w:rsid w:val="59CE51A9"/>
    <w:rsid w:val="59FF1B90"/>
    <w:rsid w:val="5A474332"/>
    <w:rsid w:val="5AD05F1E"/>
    <w:rsid w:val="5B152E64"/>
    <w:rsid w:val="5B7340B8"/>
    <w:rsid w:val="5BDFAB0E"/>
    <w:rsid w:val="5C32682B"/>
    <w:rsid w:val="5CDEEC0A"/>
    <w:rsid w:val="5D5F6243"/>
    <w:rsid w:val="5D7C6005"/>
    <w:rsid w:val="5DC77D97"/>
    <w:rsid w:val="5DD22168"/>
    <w:rsid w:val="5FE2B437"/>
    <w:rsid w:val="5FEF5520"/>
    <w:rsid w:val="5FF71960"/>
    <w:rsid w:val="60147D4F"/>
    <w:rsid w:val="60B34342"/>
    <w:rsid w:val="616B3E01"/>
    <w:rsid w:val="61DE4A37"/>
    <w:rsid w:val="62066B73"/>
    <w:rsid w:val="628C5B80"/>
    <w:rsid w:val="638C42D9"/>
    <w:rsid w:val="63D97827"/>
    <w:rsid w:val="64B45E83"/>
    <w:rsid w:val="651152FC"/>
    <w:rsid w:val="65324317"/>
    <w:rsid w:val="65593F66"/>
    <w:rsid w:val="65FEE4FC"/>
    <w:rsid w:val="66F40245"/>
    <w:rsid w:val="69221657"/>
    <w:rsid w:val="6A6715B2"/>
    <w:rsid w:val="6A726147"/>
    <w:rsid w:val="6B300A25"/>
    <w:rsid w:val="6B4A0C2F"/>
    <w:rsid w:val="6B535F74"/>
    <w:rsid w:val="6B7A4DE0"/>
    <w:rsid w:val="6BDDE3A2"/>
    <w:rsid w:val="6C163263"/>
    <w:rsid w:val="6C264620"/>
    <w:rsid w:val="6CFECA5E"/>
    <w:rsid w:val="6D7E1522"/>
    <w:rsid w:val="6D95125A"/>
    <w:rsid w:val="6ED06DC1"/>
    <w:rsid w:val="6EFB2B5A"/>
    <w:rsid w:val="6EFD1050"/>
    <w:rsid w:val="6F3C07B7"/>
    <w:rsid w:val="6F474F0B"/>
    <w:rsid w:val="6F565074"/>
    <w:rsid w:val="6F6F6081"/>
    <w:rsid w:val="6F7F96C5"/>
    <w:rsid w:val="6FD5E3EE"/>
    <w:rsid w:val="6FFFA188"/>
    <w:rsid w:val="701934AE"/>
    <w:rsid w:val="714B2ECB"/>
    <w:rsid w:val="71D7CD63"/>
    <w:rsid w:val="72385629"/>
    <w:rsid w:val="72AE526E"/>
    <w:rsid w:val="731F0A75"/>
    <w:rsid w:val="73351169"/>
    <w:rsid w:val="741831B5"/>
    <w:rsid w:val="75C80649"/>
    <w:rsid w:val="75D1553B"/>
    <w:rsid w:val="762F7860"/>
    <w:rsid w:val="76D6577B"/>
    <w:rsid w:val="77CB17F7"/>
    <w:rsid w:val="77EF22B1"/>
    <w:rsid w:val="79BF61C2"/>
    <w:rsid w:val="79FC7325"/>
    <w:rsid w:val="7A6B5CE7"/>
    <w:rsid w:val="7AE7FB34"/>
    <w:rsid w:val="7AFF2F06"/>
    <w:rsid w:val="7B767570"/>
    <w:rsid w:val="7B778066"/>
    <w:rsid w:val="7BAF23D3"/>
    <w:rsid w:val="7BDA3581"/>
    <w:rsid w:val="7C7C68B8"/>
    <w:rsid w:val="7CADD60F"/>
    <w:rsid w:val="7CEB9D80"/>
    <w:rsid w:val="7D521B6D"/>
    <w:rsid w:val="7D572E14"/>
    <w:rsid w:val="7D8F0965"/>
    <w:rsid w:val="7DD87B8D"/>
    <w:rsid w:val="7DEFEC06"/>
    <w:rsid w:val="7DF5611B"/>
    <w:rsid w:val="7ECD41D2"/>
    <w:rsid w:val="7EF53BC8"/>
    <w:rsid w:val="7EFB987F"/>
    <w:rsid w:val="7F105FF7"/>
    <w:rsid w:val="7F1D43BF"/>
    <w:rsid w:val="7F7B3E5D"/>
    <w:rsid w:val="7F7F2E39"/>
    <w:rsid w:val="7F7F4C15"/>
    <w:rsid w:val="7F8E71CE"/>
    <w:rsid w:val="7FB31639"/>
    <w:rsid w:val="7FB72670"/>
    <w:rsid w:val="7FD76BDF"/>
    <w:rsid w:val="7FDF009B"/>
    <w:rsid w:val="7FFB0A25"/>
    <w:rsid w:val="8F5F2450"/>
    <w:rsid w:val="967E53D3"/>
    <w:rsid w:val="9B2AD334"/>
    <w:rsid w:val="A7FEB36C"/>
    <w:rsid w:val="AAB77870"/>
    <w:rsid w:val="ABB79F31"/>
    <w:rsid w:val="ABDB09F4"/>
    <w:rsid w:val="ADF7198A"/>
    <w:rsid w:val="AEDF96FA"/>
    <w:rsid w:val="B6F9097E"/>
    <w:rsid w:val="B77FA827"/>
    <w:rsid w:val="B7BC8609"/>
    <w:rsid w:val="B7E7FED3"/>
    <w:rsid w:val="B7EECBBE"/>
    <w:rsid w:val="B9DE2A08"/>
    <w:rsid w:val="BADBFC01"/>
    <w:rsid w:val="BDF94A48"/>
    <w:rsid w:val="BDFF2131"/>
    <w:rsid w:val="BE9BB8A5"/>
    <w:rsid w:val="BEFF9D61"/>
    <w:rsid w:val="BF7F6555"/>
    <w:rsid w:val="BFD95782"/>
    <w:rsid w:val="BFDFE6F7"/>
    <w:rsid w:val="C1FB2E92"/>
    <w:rsid w:val="CD9F141D"/>
    <w:rsid w:val="D33F08CB"/>
    <w:rsid w:val="D5EF47D5"/>
    <w:rsid w:val="D7F9BBB8"/>
    <w:rsid w:val="D7FB5501"/>
    <w:rsid w:val="DB76FCEA"/>
    <w:rsid w:val="DDB8AE9C"/>
    <w:rsid w:val="DDC7F1C7"/>
    <w:rsid w:val="DE5CD0B4"/>
    <w:rsid w:val="DEB574C0"/>
    <w:rsid w:val="DF5EF206"/>
    <w:rsid w:val="DFEE1A41"/>
    <w:rsid w:val="E4D6B171"/>
    <w:rsid w:val="E7F71888"/>
    <w:rsid w:val="E7FD4197"/>
    <w:rsid w:val="E9CD36B5"/>
    <w:rsid w:val="EABD96D6"/>
    <w:rsid w:val="EBEF0299"/>
    <w:rsid w:val="EED58912"/>
    <w:rsid w:val="EF3DC6D9"/>
    <w:rsid w:val="EFCDB375"/>
    <w:rsid w:val="EFE70C54"/>
    <w:rsid w:val="EFF95983"/>
    <w:rsid w:val="EFFF6BF9"/>
    <w:rsid w:val="F0FF611E"/>
    <w:rsid w:val="F2F9C0B8"/>
    <w:rsid w:val="F3E58846"/>
    <w:rsid w:val="F4E6B735"/>
    <w:rsid w:val="F53F602B"/>
    <w:rsid w:val="F7DDA3C1"/>
    <w:rsid w:val="F7E9F212"/>
    <w:rsid w:val="F7FFC9F3"/>
    <w:rsid w:val="FA9B081B"/>
    <w:rsid w:val="FBD9C8D6"/>
    <w:rsid w:val="FBDF0488"/>
    <w:rsid w:val="FBFCC1D3"/>
    <w:rsid w:val="FCBDBC4F"/>
    <w:rsid w:val="FD7A8197"/>
    <w:rsid w:val="FEB9D9E7"/>
    <w:rsid w:val="FEDFB7BE"/>
    <w:rsid w:val="FEDFBB2E"/>
    <w:rsid w:val="FEFA5DAB"/>
    <w:rsid w:val="FF3D962B"/>
    <w:rsid w:val="FF4F3287"/>
    <w:rsid w:val="FF7F4081"/>
    <w:rsid w:val="FF7FBDD9"/>
    <w:rsid w:val="FF9D1844"/>
    <w:rsid w:val="FFAFA4A9"/>
    <w:rsid w:val="FFEB7C0D"/>
    <w:rsid w:val="FFF74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4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Char"/>
    <w:basedOn w:val="1"/>
    <w:qFormat/>
    <w:uiPriority w:val="0"/>
    <w:pPr>
      <w:widowControl/>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14</Pages>
  <Words>3531</Words>
  <Characters>3693</Characters>
  <Lines>22</Lines>
  <Paragraphs>6</Paragraphs>
  <TotalTime>19</TotalTime>
  <ScaleCrop>false</ScaleCrop>
  <LinksUpToDate>false</LinksUpToDate>
  <CharactersWithSpaces>3752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2017-02-26T01:02:00Z</dcterms:created>
  <dc:creator>预算处(税政处、编审中心)-王威</dc:creator>
  <cp:lastModifiedBy>晓溪。</cp:lastModifiedBy>
  <cp:lastPrinted>2022-02-17T20:01:00Z</cp:lastPrinted>
  <dcterms:modified xsi:type="dcterms:W3CDTF">2026-01-25T06:09:24Z</dcterms:modified>
  <dc:title>辽宁省财政厅部门预算</dc:title>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3752AAF952B6412E9DA58CAAAA5D3962_12</vt:lpwstr>
  </property>
  <property fmtid="{D5CDD505-2E9C-101B-9397-08002B2CF9AE}" pid="4" name="KSOTemplateDocerSaveRecord">
    <vt:lpwstr>eyJoZGlkIjoiYmI4MGVlYjkxNTRmMzMwZjc1ZDhjMzk4YjM2MTJjNWUiLCJ1c2VySWQiOiIyMzMwNTM4ODMifQ==</vt:lpwstr>
  </property>
</Properties>
</file>